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531—14.17</w:t>
      </w:r>
      <w:r>
        <w:rPr>
          <w:rFonts w:ascii="Times New Roman" w:hAnsi="Times New Roman"/>
          <w:b/>
          <w:i w:val="false"/>
          <w:color w:val="000000"/>
          <w:sz w:val="22"/>
        </w:rPr>
        <w:t xml:space="preserve">(99G,252J) </w:t>
      </w:r>
      <w:r>
        <w:rPr>
          <w:rFonts w:ascii="Times New Roman" w:hAnsi="Times New Roman"/>
          <w:b/>
          <w:i w:val="false"/>
          <w:color w:val="000000"/>
          <w:sz w:val="22"/>
        </w:rPr>
        <w:t xml:space="preserve">Calculating the effective date. </w:t>
      </w:r>
      <w:r>
        <w:rPr>
          <w:rFonts w:ascii="Times New Roman" w:hAnsi="Times New Roman"/>
          <w:b w:val="false"/>
          <w:i w:val="false"/>
          <w:color w:val="000000"/>
          <w:sz w:val="22"/>
        </w:rPr>
        <w:t xml:space="preserve">In the event an MVM licensee or applicant files a timely district court action following service of a lottery notice pursuant to Iowa Code sections </w:t>
      </w:r>
      <w:hyperlink r:id="rId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lottery shall continue with the intended action described in the notice upon the receipt of a court order lifting the stay, dismissing the action, or otherwise directing the lottery to proceed. For purposes of determining the effective date of revocation or suspension, or denial of the issuance or renewal of an MVM license, the lottery shall count the number of days before the action was filed and the number of days after the action was disposed of by the court.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and Iowa Code Supplement sections </w:t>
      </w:r>
      <w:hyperlink r:id="rId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J.8.pdf" Type="http://schemas.openxmlformats.org/officeDocument/2006/relationships/hyperlink" Id="rId4"/>
    <Relationship TargetMode="External" Target="https://www.legis.iowa.gov/docs/ico/chapter/252J.9.pdf" Type="http://schemas.openxmlformats.org/officeDocument/2006/relationships/hyperlink" Id="rId5"/>
    <Relationship TargetMode="External" Target="https://www.legis.iowa.gov/docs/ico/chapter/252J.8.pdf" Type="http://schemas.openxmlformats.org/officeDocument/2006/relationships/hyperlink" Id="rId6"/>
    <Relationship TargetMode="External" Target="https://www.legis.iowa.gov/docs/ico/chapter/252J.9.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2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