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531—14.16</w:t>
      </w:r>
      <w:r>
        <w:rPr>
          <w:rFonts w:ascii="Times New Roman" w:hAnsi="Times New Roman"/>
          <w:b/>
          <w:i w:val="false"/>
          <w:color w:val="000000"/>
          <w:sz w:val="22"/>
        </w:rPr>
        <w:t xml:space="preserve">(99G,252J) </w:t>
      </w:r>
      <w:r>
        <w:rPr>
          <w:rFonts w:ascii="Times New Roman" w:hAnsi="Times New Roman"/>
          <w:b/>
          <w:i w:val="false"/>
          <w:color w:val="000000"/>
          <w:sz w:val="22"/>
        </w:rPr>
        <w:t xml:space="preserve">Licensee’s obligation. </w:t>
      </w:r>
      <w:r>
        <w:rPr>
          <w:rFonts w:ascii="Times New Roman" w:hAnsi="Times New Roman"/>
          <w:b w:val="false"/>
          <w:i w:val="false"/>
          <w:color w:val="000000"/>
          <w:sz w:val="22"/>
        </w:rPr>
        <w:t xml:space="preserve">MVM retailers, distributors, premises operators, and license applicants shall keep the lottery informed of all court actions and all relevant child support recovery unit actions taken under or in connection with Iowa Code chapter </w:t>
      </w:r>
      <w:hyperlink r:id="rId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lottery with copies, within seven days of filing or issuance, of all applications filed with the district court pursuant to Iowa Code section </w:t>
      </w:r>
      <w:hyperlink r:id="rId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pdf" Type="http://schemas.openxmlformats.org/officeDocument/2006/relationships/hyperlink" Id="rId4"/>
    <Relationship TargetMode="External" Target="https://www.legis.iowa.gov/docs/ico/chapter/252J.9.pdf" Type="http://schemas.openxmlformats.org/officeDocument/2006/relationships/hyperlink" Id="rId5"/>
    <Relationship TargetMode="External" Target="https://www.legis.iowa.gov/docs/ico/chapter/252J.8.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2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