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531—14.14</w:t>
      </w:r>
      <w:r>
        <w:rPr>
          <w:rFonts w:ascii="Times New Roman" w:hAnsi="Times New Roman"/>
          <w:b/>
          <w:i w:val="false"/>
          <w:color w:val="000000"/>
          <w:sz w:val="22"/>
        </w:rPr>
        <w:t xml:space="preserve">(99G,252J) </w:t>
      </w:r>
      <w:r>
        <w:rPr>
          <w:rFonts w:ascii="Times New Roman" w:hAnsi="Times New Roman"/>
          <w:b/>
          <w:i w:val="false"/>
          <w:color w:val="000000"/>
          <w:sz w:val="22"/>
        </w:rPr>
        <w:t xml:space="preserve">Suspension or revocation of an MVM premises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val="false"/>
          <w:color w:val="000000"/>
          <w:sz w:val="22"/>
        </w:rPr>
        <w:t>The lottery may suspend or revoke any MVM premises license issued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eligibility criteria for MVM premises license application and issuance established by Iowa Code Supplement chapter </w:t>
      </w:r>
      <w:hyperlink r:id="rId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provisions of Iowa Code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these rules, or the MVM premises operator license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deceit, misrepresentation, or other conduct prejudicial to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laws in connection with the production or operation of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Obtaining an MVM premises license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the board or lottery on any report, record, application form, or questionnaire required to be submitted to the board or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which is in violation of the criminal or civil public policy of this state if such pursuit creates cause to believe that the participation of such person in these activities is detrimental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follow security procedures of the lottery for the management of personnel, handling of tickets, or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the lottery receives a certificate of noncompliance from the child support recovery unit in regard to the MVM premises operator who is an individual,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history of thefts or other forms of losses of tickets or revenue occurs at the MVM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Conduct or business activities on the premises which would undermine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Substantiated instances of purchases of lottery tickets by underage persons on the MVM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val="false"/>
          <w:color w:val="000000"/>
          <w:sz w:val="22"/>
        </w:rPr>
        <w:t>Advertising by MVM premises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referring to MVMs or their associated games in advertisements, signage, promotional materials, or any other similar items, MVM premises operators shall not use any false or misleading terms or statements including, but not limited to, “casino,” “slot machine,” “slots,” video lottery,” “VLTs,” “video slots,” “video poker,” or any other related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an MVM premises operator has violated </w:t>
      </w:r>
      <w:hyperlink r:id="rId6">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lottery shall investigate and provide a written warning to the MVM premises operator describing the report of the event and of the potential violation of </w:t>
      </w:r>
      <w:hyperlink r:id="rId7">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event the lottery can substantiate the claim that an MVM premises operator has violated </w:t>
      </w:r>
      <w:hyperlink r:id="rId8">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lottery shall suspend the license of the MVM premises operator in question for 7 days. If the lottery can substantiate the claim that an MVM premises operator has violated </w:t>
      </w:r>
      <w:hyperlink r:id="rId9">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a second time in a period of one year from the date of the first event on the same MVM premises, the lottery shall suspend the MVM premises operator license for a period of 30 days. If the lottery can substantiate the claim that an MVM premises operator has violated </w:t>
      </w:r>
      <w:hyperlink r:id="rId10">
        <w:r>
          <w:rPr>
            <w:rStyle w:val="Hyperlink"/>
            <w:rFonts w:ascii="Times New Roman" w:hAnsi="Times New Roman"/>
            <w:b w:val="false"/>
            <w:i w:val="false"/>
            <w:color w:val="000000"/>
            <w:sz w:val="22"/>
          </w:rPr>
          <w:t>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at a given MVM premises a third time in a period of one year from the date of the first event as described in this rule, the lottery shall suspend the license of the MVM premises operator in question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certification, or denial of the issuance or renewal of a certification, as specified in the notice required by Iowa Code section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All other notices of revocation or suspension shall be 20 days following service upon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an underage player has purchased one or more lottery products from an MVM, the lottery will investigate and provide a written warning to the MVM retailer and the MVM premises operator describing the report of the event and of the potential violation of Iowa Code Supplement section </w:t>
      </w:r>
      <w:hyperlink r:id="rId12">
        <w:r>
          <w:rPr>
            <w:rStyle w:val="Hyperlink"/>
            <w:rFonts w:ascii="Times New Roman" w:hAnsi="Times New Roman"/>
            <w:b w:val="false"/>
            <w:i w:val="false"/>
            <w:color w:val="000000"/>
            <w:sz w:val="22"/>
          </w:rPr>
          <w:t>99G.24(9)</w:t>
        </w:r>
      </w:hyperlink>
      <w:r>
        <w:rPr>
          <w:rFonts w:ascii="Times New Roman" w:hAnsi="Times New Roman"/>
          <w:b w:val="false"/>
          <w:i w:val="false"/>
          <w:color w:val="000000"/>
          <w:sz w:val="22"/>
        </w:rPr>
        <w:t>. In the event the lottery can substantiate the claim that an underage player has purchased a product from an MVM, the lottery shall suspend the license of the MVM premises in question for 7 days. If the lottery can substantiate the claim that an underage player has purchased a product from an MVM a second time in a period of one year from the date of the first event on the same MVM premises, the lottery shall suspend the MVM premises license for a period of 30 days. If the lottery can substantiate the claim that an underage player has purchased a product from an MVM at a given MVM premises a third time in a period of one year from the date of the first event as described in this rule, the lottery shall suspend the license of the MVM premises in question for one year.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1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ac/rule/531.14.14.pdf" Type="http://schemas.openxmlformats.org/officeDocument/2006/relationships/hyperlink" Id="rId6"/>
    <Relationship TargetMode="External" Target="https://www.legis.iowa.gov/docs/iac/rule/531.14.14.pdf" Type="http://schemas.openxmlformats.org/officeDocument/2006/relationships/hyperlink" Id="rId7"/>
    <Relationship TargetMode="External" Target="https://www.legis.iowa.gov/docs/iac/rule/531.14.14.pdf" Type="http://schemas.openxmlformats.org/officeDocument/2006/relationships/hyperlink" Id="rId8"/>
    <Relationship TargetMode="External" Target="https://www.legis.iowa.gov/docs/iac/rule/531.14.14.pdf" Type="http://schemas.openxmlformats.org/officeDocument/2006/relationships/hyperlink" Id="rId9"/>
    <Relationship TargetMode="External" Target="https://www.legis.iowa.gov/docs/iac/rule/531.14.14.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99G.24.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99G.9.pdf" Type="http://schemas.openxmlformats.org/officeDocument/2006/relationships/hyperlink" Id="rId14"/>
    <Relationship TargetMode="External" Target="https://www.legis.iowa.gov/docs/ico/chapter/99G.21.pdf" Type="http://schemas.openxmlformats.org/officeDocument/2006/relationships/hyperlink" Id="rId15"/>
    <Relationship TargetMode="External" Target="https://www.legis.iowa.gov/docs/ico/chapter/99G.24.pdf" Type="http://schemas.openxmlformats.org/officeDocument/2006/relationships/hyperlink" Id="rId16"/>
    <Relationship TargetMode="External" Target="https://www.legis.iowa.gov/docs/ico/chapter/99G.27.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