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531—14.12</w:t>
      </w:r>
      <w:r>
        <w:rPr>
          <w:rFonts w:ascii="Times New Roman" w:hAnsi="Times New Roman"/>
          <w:b/>
          <w:i w:val="false"/>
          <w:color w:val="000000"/>
          <w:sz w:val="22"/>
        </w:rPr>
        <w:t xml:space="preserve">(99G) </w:t>
      </w:r>
      <w:r>
        <w:rPr>
          <w:rFonts w:ascii="Times New Roman" w:hAnsi="Times New Roman"/>
          <w:b/>
          <w:i w:val="false"/>
          <w:color w:val="000000"/>
          <w:sz w:val="22"/>
        </w:rPr>
        <w:t xml:space="preserve">MVM license not a vested right. </w:t>
      </w:r>
      <w:r>
        <w:rPr>
          <w:rFonts w:ascii="Times New Roman" w:hAnsi="Times New Roman"/>
          <w:b w:val="false"/>
          <w:i w:val="false"/>
          <w:color w:val="000000"/>
          <w:sz w:val="22"/>
        </w:rPr>
        <w:t>The possession of an MVM license issued by the lottery to any person or entity to act as an MVM retailer, MVM distributor, or MVM premises operator is a privilege personal to that person or entity and is not a legal right. The possession of an MVM license issued by the lottery does not automatically entitle that person or entity to lease or purchase an MVM or to sell tickets or obtain materials for any particular game.</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99G.21.pdf" Type="http://schemas.openxmlformats.org/officeDocument/2006/relationships/hyperlink" Id="rId5"/>
    <Relationship TargetMode="External" Target="https://www.legis.iowa.gov/docs/ico/chapter/99G.7.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