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531—14.11</w:t>
      </w:r>
      <w:r>
        <w:rPr>
          <w:rFonts w:ascii="Times New Roman" w:hAnsi="Times New Roman"/>
          <w:b/>
          <w:i w:val="false"/>
          <w:color w:val="000000"/>
          <w:sz w:val="22"/>
        </w:rPr>
        <w:t xml:space="preserve">(99G) </w:t>
      </w:r>
      <w:r>
        <w:rPr>
          <w:rFonts w:ascii="Times New Roman" w:hAnsi="Times New Roman"/>
          <w:b/>
          <w:i w:val="false"/>
          <w:color w:val="000000"/>
          <w:sz w:val="22"/>
        </w:rPr>
        <w:t xml:space="preserve">Reporting changes in circumstances of the MVM licensee. </w:t>
      </w:r>
      <w:r>
        <w:rPr>
          <w:rFonts w:ascii="Times New Roman" w:hAnsi="Times New Roman"/>
          <w:b w:val="false"/>
          <w:i w:val="false"/>
          <w:color w:val="000000"/>
          <w:sz w:val="22"/>
        </w:rPr>
        <w:t>Every change in business structure of an MVM licensee, such as from a sole proprietorship to a corporation, and every change in the name of a business must be reported to the lottery prior to the change. Substantial changes in the ownership of an MVM licensee must also be reported to the lottery prior to the change. A substantial change of ownership is defined as the transfer of 10 percent or more equity in the licensed business from or to another single individual or legal entity. If a change involves the addition or deletion of one or more existing owners or officers, the licensee shall submit a license application reflecting the change and any other documentation the lottery may require. All changes will be reviewed by the lottery to determine if the existing license should be continued.</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99G.27(1)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2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