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531—13.6</w:t>
      </w:r>
      <w:r>
        <w:rPr>
          <w:rFonts w:ascii="Times New Roman" w:hAnsi="Times New Roman"/>
          <w:b/>
          <w:i w:val="false"/>
          <w:color w:val="000000"/>
          <w:sz w:val="22"/>
        </w:rPr>
        <w:t xml:space="preserve">(99G) </w:t>
      </w:r>
      <w:r>
        <w:rPr>
          <w:rFonts w:ascii="Times New Roman" w:hAnsi="Times New Roman"/>
          <w:b/>
          <w:i w:val="false"/>
          <w:color w:val="000000"/>
          <w:sz w:val="22"/>
        </w:rPr>
        <w:t xml:space="preserve">Retailer costs and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Retailers shall purchase pull-tab tickets for a price equal to the retail price of the tickets less the value of prizes that the retailer is required to pay and any discounts or commissions authorized by the lottery. Retailers shall purchase scratch tickets at retail price and shall be credited for validations and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The lottery may impose a service fee on retailers to cover operational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The lottery, with board approval, shall set the base amount of retailer compensation. The base amount of compensation shall be specified in the agreement between the retailer and the lottery. The lottery may increase the total amount of retailer compensation by implementing sales incentive programs.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