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531—13.3</w:t>
      </w:r>
      <w:r>
        <w:rPr>
          <w:rFonts w:ascii="Times New Roman" w:hAnsi="Times New Roman"/>
          <w:b/>
          <w:i w:val="false"/>
          <w:color w:val="000000"/>
          <w:sz w:val="22"/>
        </w:rPr>
        <w:t xml:space="preserve">(99G) </w:t>
      </w:r>
      <w:r>
        <w:rPr>
          <w:rFonts w:ascii="Times New Roman" w:hAnsi="Times New Roman"/>
          <w:b/>
          <w:i w:val="false"/>
          <w:color w:val="000000"/>
          <w:sz w:val="22"/>
        </w:rPr>
        <w:t xml:space="preserve">Display and availability of lottery license certificates, rules and promotional materials provided by the lottery.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13.3(1)</w:t>
      </w:r>
      <w:r>
        <w:rPr>
          <w:rFonts w:ascii="Times New Roman" w:hAnsi="Times New Roman"/>
          <w:b w:val="false"/>
          <w:i w:val="false"/>
          <w:color w:val="000000"/>
          <w:sz w:val="22"/>
        </w:rPr>
        <w:t> </w:t>
      </w:r>
      <w:r>
        <w:rPr>
          <w:rFonts w:ascii="Times New Roman" w:hAnsi="Times New Roman"/>
          <w:b w:val="false"/>
          <w:i w:val="false"/>
          <w:color w:val="000000"/>
          <w:sz w:val="22"/>
        </w:rPr>
        <w:t>Retailers shall display the lottery license certificates or a facsimile thereof in an area visible to the general public wherever tickets are being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13.3(2)</w:t>
      </w:r>
      <w:r>
        <w:rPr>
          <w:rFonts w:ascii="Times New Roman" w:hAnsi="Times New Roman"/>
          <w:b w:val="false"/>
          <w:i w:val="false"/>
          <w:color w:val="000000"/>
          <w:sz w:val="22"/>
        </w:rPr>
        <w:t> </w:t>
      </w:r>
      <w:r>
        <w:rPr>
          <w:rFonts w:ascii="Times New Roman" w:hAnsi="Times New Roman"/>
          <w:b w:val="false"/>
          <w:i w:val="false"/>
          <w:color w:val="000000"/>
          <w:sz w:val="22"/>
        </w:rPr>
        <w:t>Retailers shall display brochures, flyers, or similar items provided by the lottery that are designed to provide the rules of lottery games near the point at which tickets are sold.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13.3(3)</w:t>
      </w:r>
      <w:r>
        <w:rPr>
          <w:rFonts w:ascii="Times New Roman" w:hAnsi="Times New Roman"/>
          <w:b w:val="false"/>
          <w:i w:val="false"/>
          <w:color w:val="000000"/>
          <w:sz w:val="22"/>
        </w:rPr>
        <w:t> </w:t>
      </w:r>
      <w:r>
        <w:rPr>
          <w:rFonts w:ascii="Times New Roman" w:hAnsi="Times New Roman"/>
          <w:b w:val="false"/>
          <w:i w:val="false"/>
          <w:color w:val="000000"/>
          <w:sz w:val="22"/>
        </w:rPr>
        <w:t>Retailers shall display point-of-sale material provided by the lottery in a manner that is readily seen by and available to the public. The lottery may require the removal of objectionable material or the discontinuance of objectionable advertising that may have an adverse impact on the lottery.</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4.pdf" Type="http://schemas.openxmlformats.org/officeDocument/2006/relationships/hyperlink" Id="rId5"/>
    <Relationship TargetMode="External" Target="https://www.legis.iowa.gov/docs/ico/chapter/99G.27.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