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531—13.2</w:t>
      </w:r>
      <w:r>
        <w:rPr>
          <w:rFonts w:ascii="Times New Roman" w:hAnsi="Times New Roman"/>
          <w:b/>
          <w:i w:val="false"/>
          <w:color w:val="000000"/>
          <w:sz w:val="22"/>
        </w:rPr>
        <w:t xml:space="preserve">(99G) </w:t>
      </w:r>
      <w:r>
        <w:rPr>
          <w:rFonts w:ascii="Times New Roman" w:hAnsi="Times New Roman"/>
          <w:b/>
          <w:i w:val="false"/>
          <w:color w:val="000000"/>
          <w:sz w:val="22"/>
        </w:rPr>
        <w:t xml:space="preserve">Requirements for the sale of tickets.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Retailers shall be knowledgeable about the lottery and lottery products and may be required to take training in the operation of lottery games. Retailers shall make the purchase of tickets convenient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Tickets shall be sold at the price designated by the lottery. Retailers shall not sell tickets for a price other than that specified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No retailer or any employee or member of a retailer shall attempt to identify a winning ticket prior to the sale of the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Retailers shall pay all prizes that the lottery requires retailers to pay during normal business hours at the location designated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Retailers shall not purchase tickets previously sold by the retailer.</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30.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