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531—13.12</w:t>
      </w:r>
      <w:r>
        <w:rPr>
          <w:rFonts w:ascii="Times New Roman" w:hAnsi="Times New Roman"/>
          <w:b/>
          <w:i w:val="false"/>
          <w:color w:val="000000"/>
          <w:sz w:val="22"/>
        </w:rPr>
        <w:t xml:space="preserve">(99G) </w:t>
      </w:r>
      <w:r>
        <w:rPr>
          <w:rFonts w:ascii="Times New Roman" w:hAnsi="Times New Roman"/>
          <w:b/>
          <w:i w:val="false"/>
          <w:color w:val="000000"/>
          <w:sz w:val="22"/>
        </w:rPr>
        <w:t xml:space="preserve">Placement of lottery equipment. </w:t>
      </w:r>
      <w:r>
        <w:rPr>
          <w:rFonts w:ascii="Times New Roman" w:hAnsi="Times New Roman"/>
          <w:b w:val="false"/>
          <w:i w:val="false"/>
          <w:color w:val="000000"/>
          <w:sz w:val="22"/>
        </w:rPr>
        <w:t>The chief executive officer shall determine the need for and type of lottery equipment to be installed at licensee sales outlet locations. Decisions regarding placement of lottery equipment shall be at the sole discretion of the chief executive officer. In the exercise of discretion, the chief executive officer may consider any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availability of equipment.</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suitability of the type of equipment for the specific retail outlet under consideration.</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location, equipment, business type and proximity of other extant retail outlets compared with an outlet under consideration.</w:t>
      </w:r>
    </w:p>
    <w:p>
      <w:pPr>
        <w:spacing w:before="0" w:after="0"/>
        <w:ind w:left="120"/>
        <w:jc w:val="left"/>
      </w:pPr>
      <w:r>
        <w:rPr>
          <w:rFonts w:ascii="Times New Roman" w:hAnsi="Times New Roman"/>
          <w:b w:val="false"/>
          <w:i w:val="false"/>
          <w:color w:val="000000"/>
          <w:sz w:val="22"/>
        </w:rPr>
        <w:t>     4.   </w:t>
      </w:r>
      <w:r>
        <w:rPr>
          <w:rFonts w:ascii="Times New Roman" w:hAnsi="Times New Roman"/>
          <w:b w:val="false"/>
          <w:i w:val="false"/>
          <w:color w:val="000000"/>
          <w:sz w:val="22"/>
        </w:rPr>
        <w:t>The sufficiency of existing licensed outlets to serve the public convenience.</w:t>
      </w:r>
    </w:p>
    <w:p>
      <w:pPr>
        <w:spacing w:before="0" w:after="0"/>
        <w:ind w:left="120"/>
        <w:jc w:val="left"/>
      </w:pPr>
      <w:r>
        <w:rPr>
          <w:rFonts w:ascii="Times New Roman" w:hAnsi="Times New Roman"/>
          <w:b w:val="false"/>
          <w:i w:val="false"/>
          <w:color w:val="000000"/>
          <w:sz w:val="22"/>
        </w:rPr>
        <w:t>     5.   </w:t>
      </w:r>
      <w:r>
        <w:rPr>
          <w:rFonts w:ascii="Times New Roman" w:hAnsi="Times New Roman"/>
          <w:b w:val="false"/>
          <w:i w:val="false"/>
          <w:color w:val="000000"/>
          <w:sz w:val="22"/>
        </w:rPr>
        <w:t>Such minimum sales criteria as may be appropriate based on current market conditions.</w:t>
      </w:r>
    </w:p>
    <w:p>
      <w:pPr>
        <w:spacing w:before="0" w:after="0"/>
        <w:ind w:left="120"/>
        <w:jc w:val="left"/>
      </w:pPr>
      <w:r>
        <w:rPr>
          <w:rFonts w:ascii="Times New Roman" w:hAnsi="Times New Roman"/>
          <w:b w:val="false"/>
          <w:i w:val="false"/>
          <w:color w:val="000000"/>
          <w:sz w:val="22"/>
        </w:rPr>
        <w:t>     6.   </w:t>
      </w:r>
      <w:r>
        <w:rPr>
          <w:rFonts w:ascii="Times New Roman" w:hAnsi="Times New Roman"/>
          <w:b w:val="false"/>
          <w:i w:val="false"/>
          <w:color w:val="000000"/>
          <w:sz w:val="22"/>
        </w:rPr>
        <w:t>The cost of equipment and potential return on lottery investment.</w:t>
      </w:r>
    </w:p>
    <w:p>
      <w:pPr>
        <w:spacing w:before="0" w:after="0"/>
        <w:ind w:left="120"/>
        <w:jc w:val="left"/>
      </w:pPr>
      <w:r>
        <w:rPr>
          <w:rFonts w:ascii="Times New Roman" w:hAnsi="Times New Roman"/>
          <w:b w:val="false"/>
          <w:i w:val="false"/>
          <w:color w:val="000000"/>
          <w:sz w:val="22"/>
        </w:rPr>
        <w:t>     7.   </w:t>
      </w:r>
      <w:r>
        <w:rPr>
          <w:rFonts w:ascii="Times New Roman" w:hAnsi="Times New Roman"/>
          <w:b w:val="false"/>
          <w:i w:val="false"/>
          <w:color w:val="000000"/>
          <w:sz w:val="22"/>
        </w:rPr>
        <w:t>Such other factors as the chief executive officer may deem appropriate to the exercise of prudent business judgment in reaching a decision.</w:t>
      </w:r>
    </w:p>
    <w:p>
      <w:pPr>
        <w:spacing w:before="0" w:after="0"/>
        <w:ind w:left="120"/>
        <w:jc w:val="left"/>
      </w:pPr>
      <w:r>
        <w:rPr>
          <w:rFonts w:ascii="Times New Roman" w:hAnsi="Times New Roman"/>
          <w:b w:val="false"/>
          <w:i w:val="false"/>
          <w:color w:val="000000"/>
          <w:sz w:val="22"/>
        </w:rPr>
        <w:t>The decision of the chief executive officer regarding placement of equipment is solely discretionary and final.</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7.pdf" Type="http://schemas.openxmlformats.org/officeDocument/2006/relationships/hyperlink" Id="rId5"/>
    <Relationship TargetMode="External" Target="https://www.legis.iowa.gov/docs/ico/chapter/99G.2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