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531—12.8</w:t>
      </w:r>
      <w:r>
        <w:rPr>
          <w:rFonts w:ascii="Times New Roman" w:hAnsi="Times New Roman"/>
          <w:b/>
          <w:i w:val="false"/>
          <w:color w:val="000000"/>
          <w:sz w:val="22"/>
        </w:rPr>
        <w:t xml:space="preserve">(99G) </w:t>
      </w:r>
      <w:r>
        <w:rPr>
          <w:rFonts w:ascii="Times New Roman" w:hAnsi="Times New Roman"/>
          <w:b/>
          <w:i w:val="false"/>
          <w:color w:val="000000"/>
          <w:sz w:val="22"/>
        </w:rPr>
        <w:t xml:space="preserve">Off-premises licenses. </w:t>
      </w:r>
      <w:r>
        <w:rPr>
          <w:rFonts w:ascii="Times New Roman" w:hAnsi="Times New Roman"/>
          <w:b w:val="false"/>
          <w:i w:val="false"/>
          <w:color w:val="000000"/>
          <w:sz w:val="22"/>
        </w:rPr>
        <w:t>Any licensed retailer who has been issued a license or provisional license to sell tickets may apply for an off-premises license to sell tickets in locations other than that specified on the existing license. The lottery must specifically approve the geographical area in which sales are to be made and the types of locations at which off-premises sales are to be made prior to issuance of an off-premises license. Additional instructions and restrictions may be specified by the lottery to govern off-premises sales. An off-premises license shall expire at the time designated on the off-premises license. An off-premises license may be renewed at the lottery’s discretion.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