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531—12.7</w:t>
      </w:r>
      <w:r>
        <w:rPr>
          <w:rFonts w:ascii="Times New Roman" w:hAnsi="Times New Roman"/>
          <w:b/>
          <w:i w:val="false"/>
          <w:color w:val="000000"/>
          <w:sz w:val="22"/>
        </w:rPr>
        <w:t xml:space="preserve">(99G,252J) </w:t>
      </w:r>
      <w:r>
        <w:rPr>
          <w:rFonts w:ascii="Times New Roman" w:hAnsi="Times New Roman"/>
          <w:b/>
          <w:i w:val="false"/>
          <w:color w:val="000000"/>
          <w:sz w:val="22"/>
        </w:rPr>
        <w:t xml:space="preserve">Provisional licenses. </w:t>
      </w:r>
      <w:r>
        <w:rPr>
          <w:rFonts w:ascii="Times New Roman" w:hAnsi="Times New Roman"/>
          <w:b w:val="false"/>
          <w:i w:val="false"/>
          <w:color w:val="000000"/>
          <w:sz w:val="22"/>
        </w:rPr>
        <w:t>The lottery may issue a provisional license to an applicant for a lottery license after receipt of a fully completed license application, the authorization for a complete personal background check, completion of a credit check, and completion of a preliminary background check. The provisional license shall expire at the time of issuance of the requested license or 90 days from the date the provisional license was issued, whichever occurs first, unless the provisional license is extended by the lottery.</w:t>
      </w:r>
    </w:p>
    <w:p>
      <w:pPr>
        <w:spacing w:before="0" w:after="0"/>
        <w:ind w:left="120"/>
        <w:jc w:val="left"/>
      </w:pPr>
      <w:r>
        <w:rPr>
          <w:rFonts w:ascii="Times New Roman" w:hAnsi="Times New Roman"/>
          <w:b w:val="false"/>
          <w:i w:val="false"/>
          <w:color w:val="000000"/>
          <w:sz w:val="22"/>
        </w:rPr>
        <w:t xml:space="preserve">Notwithstanding the foregoing, the lottery will deny a provisional license to any applicant who is an individual if the lottery has received a certificate of noncompliance from the child support recovery unit with regard to the individual, until the unit furnishes the lottery with a withdrawal of the certificate of noncompliance. If an application is denied because the lottery has received a certificate of noncompliance from the child support recovery unit in regard to an individual, the effective date of denial of the issuance of the license, as specified in the notice required by Iowa Code section </w:t>
      </w:r>
      <w:hyperlink r:id="rId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8.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4.pdf" Type="http://schemas.openxmlformats.org/officeDocument/2006/relationships/hyperlink" Id="rId7"/>
    <Relationship TargetMode="External" Target="https://www.legis.iowa.gov/docs/ico/chapter/99G.27.pdf" Type="http://schemas.openxmlformats.org/officeDocument/2006/relationships/hyperlink" Id="rId8"/>
    <Relationship TargetMode="External" Target="https://www.legis.iowa.gov/docs/ico/chapter/252J.2.pdf" Type="http://schemas.openxmlformats.org/officeDocument/2006/relationships/hyperlink" Id="rId9"/>
    <Relationship TargetMode="External" Target="https://www.legis.iowa.gov/docs/ico/chapter/252J.8.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