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531—12.2</w:t>
      </w:r>
      <w:r>
        <w:rPr>
          <w:rFonts w:ascii="Times New Roman" w:hAnsi="Times New Roman"/>
          <w:b/>
          <w:i w:val="false"/>
          <w:color w:val="000000"/>
          <w:sz w:val="22"/>
        </w:rPr>
        <w:t xml:space="preserve">(99G,252J) </w:t>
      </w:r>
      <w:r>
        <w:rPr>
          <w:rFonts w:ascii="Times New Roman" w:hAnsi="Times New Roman"/>
          <w:b/>
          <w:i w:val="false"/>
          <w:color w:val="000000"/>
          <w:sz w:val="22"/>
        </w:rPr>
        <w:t xml:space="preserve">Factors relevant to license issuance. </w:t>
      </w:r>
      <w:r>
        <w:rPr>
          <w:rFonts w:ascii="Times New Roman" w:hAnsi="Times New Roman"/>
          <w:b w:val="false"/>
          <w:i w:val="false"/>
          <w:color w:val="000000"/>
          <w:sz w:val="22"/>
        </w:rPr>
        <w:t xml:space="preserve">The lottery may issue a license to any applicant to act as a licensed retailer who meets the eligibility criteria established by Iowa Code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 In exercising its licensing discretion, the lottery shall consider the following factors: the background and reputation of the applicant in the community for honesty and integrity; the financial responsibility and security of the person and business or activity; the type of business owned or operated by the applicant to ensure consonance with the dignity of the state, the general welfare of the people, and the operation and integrity of the lottery; the accessibility of the applicant’s place of business or activity to the public; the sufficiency of existing licenses to serve the public convenience; the volume of expected sales; the accuracy of the information supplied in the application for a license; the applicant’s indebtedness to the state of Iowa, local subdivisions of the state, or the United States government; if an individual, indebtedness owed for child support payments; and any other criteria or information relevant to determining if a license should be issued.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99G.24(5)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4.pdf" Type="http://schemas.openxmlformats.org/officeDocument/2006/relationships/hyperlink" Id="rId7"/>
    <Relationship TargetMode="External" Target="https://www.legis.iowa.gov/docs/ico/chapter/252J.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