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531—12.16</w:t>
      </w:r>
      <w:r>
        <w:rPr>
          <w:rFonts w:ascii="Times New Roman" w:hAnsi="Times New Roman"/>
          <w:b/>
          <w:i w:val="false"/>
          <w:color w:val="000000"/>
          <w:sz w:val="22"/>
        </w:rPr>
        <w:t xml:space="preserve">(99G) </w:t>
      </w:r>
      <w:r>
        <w:rPr>
          <w:rFonts w:ascii="Times New Roman" w:hAnsi="Times New Roman"/>
          <w:b/>
          <w:i w:val="false"/>
          <w:color w:val="000000"/>
          <w:sz w:val="22"/>
        </w:rPr>
        <w:t xml:space="preserve">Financial responsibility. </w:t>
      </w:r>
      <w:r>
        <w:rPr>
          <w:rFonts w:ascii="Times New Roman" w:hAnsi="Times New Roman"/>
          <w:b w:val="false"/>
          <w:i w:val="false"/>
          <w:color w:val="000000"/>
          <w:sz w:val="22"/>
        </w:rPr>
        <w:t>The lottery shall use the following guidelines to determine financial responsibility for a retailer seeking a license to sell lottery products.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12.16(1)</w:t>
      </w:r>
      <w:r>
        <w:rPr>
          <w:rFonts w:ascii="Times New Roman" w:hAnsi="Times New Roman"/>
          <w:b w:val="false"/>
          <w:i w:val="false"/>
          <w:color w:val="000000"/>
          <w:sz w:val="22"/>
        </w:rPr>
        <w:t> </w:t>
      </w:r>
      <w:r>
        <w:rPr>
          <w:rFonts w:ascii="Times New Roman" w:hAnsi="Times New Roman"/>
          <w:b w:val="false"/>
          <w:i/>
          <w:color w:val="000000"/>
          <w:sz w:val="22"/>
        </w:rPr>
        <w:t xml:space="preserve">Sole proprietorship. </w:t>
      </w:r>
      <w:r>
        <w:rPr>
          <w:rFonts w:ascii="Times New Roman" w:hAnsi="Times New Roman"/>
          <w:b w:val="false"/>
          <w:i w:val="false"/>
          <w:color w:val="000000"/>
          <w:sz w:val="22"/>
        </w:rPr>
        <w:t>The lottery will not require a bond from a sole proprietor if the account history for the applicant for the past two years discloses no more than four accounts past due and no accounts over 90 days past due.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12.16(2)</w:t>
      </w:r>
      <w:r>
        <w:rPr>
          <w:rFonts w:ascii="Times New Roman" w:hAnsi="Times New Roman"/>
          <w:b w:val="false"/>
          <w:i w:val="false"/>
          <w:color w:val="000000"/>
          <w:sz w:val="22"/>
        </w:rPr>
        <w:t> </w:t>
      </w:r>
      <w:r>
        <w:rPr>
          <w:rFonts w:ascii="Times New Roman" w:hAnsi="Times New Roman"/>
          <w:b w:val="false"/>
          <w:i/>
          <w:color w:val="000000"/>
          <w:sz w:val="22"/>
        </w:rPr>
        <w:t xml:space="preserve">Partnership. </w:t>
      </w:r>
      <w:r>
        <w:rPr>
          <w:rFonts w:ascii="Times New Roman" w:hAnsi="Times New Roman"/>
          <w:b w:val="false"/>
          <w:i w:val="false"/>
          <w:color w:val="000000"/>
          <w:sz w:val="22"/>
        </w:rPr>
        <w:t xml:space="preserve">If the license applicant is a partnership, 50 percent of the partners must meet the credit guidelines listed in subrule </w:t>
      </w:r>
      <w:hyperlink r:id="rId4">
        <w:r>
          <w:rPr>
            <w:rStyle w:val="Hyperlink"/>
            <w:rFonts w:ascii="Times New Roman" w:hAnsi="Times New Roman"/>
            <w:b w:val="false"/>
            <w:i w:val="false"/>
            <w:color w:val="000000"/>
            <w:sz w:val="22"/>
          </w:rPr>
          <w:t>12.16(1)</w:t>
        </w:r>
      </w:hyperlink>
      <w:r>
        <w:rPr>
          <w:rFonts w:ascii="Times New Roman" w:hAnsi="Times New Roman"/>
          <w:b w:val="false"/>
          <w:i w:val="false"/>
          <w:color w:val="000000"/>
          <w:sz w:val="22"/>
        </w:rPr>
        <w:t xml:space="preserve">. If the credit history discloses that the requirements of subrule </w:t>
      </w:r>
      <w:hyperlink r:id="rId5">
        <w:r>
          <w:rPr>
            <w:rStyle w:val="Hyperlink"/>
            <w:rFonts w:ascii="Times New Roman" w:hAnsi="Times New Roman"/>
            <w:b w:val="false"/>
            <w:i w:val="false"/>
            <w:color w:val="000000"/>
            <w:sz w:val="22"/>
          </w:rPr>
          <w:t>12.16(1)</w:t>
        </w:r>
      </w:hyperlink>
      <w:r>
        <w:rPr>
          <w:rFonts w:ascii="Times New Roman" w:hAnsi="Times New Roman"/>
          <w:b w:val="false"/>
          <w:i w:val="false"/>
          <w:color w:val="000000"/>
          <w:sz w:val="22"/>
        </w:rPr>
        <w:t xml:space="preserve"> are satisfied, the lottery will not require a bond.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12.16(3)</w:t>
      </w:r>
      <w:r>
        <w:rPr>
          <w:rFonts w:ascii="Times New Roman" w:hAnsi="Times New Roman"/>
          <w:b w:val="false"/>
          <w:i w:val="false"/>
          <w:color w:val="000000"/>
          <w:sz w:val="22"/>
        </w:rPr>
        <w:t> </w:t>
      </w:r>
      <w:r>
        <w:rPr>
          <w:rFonts w:ascii="Times New Roman" w:hAnsi="Times New Roman"/>
          <w:b w:val="false"/>
          <w:i/>
          <w:color w:val="000000"/>
          <w:sz w:val="22"/>
        </w:rPr>
        <w:t xml:space="preserve">Fraternal or civic associations. </w:t>
      </w:r>
      <w:r>
        <w:rPr>
          <w:rFonts w:ascii="Times New Roman" w:hAnsi="Times New Roman"/>
          <w:b w:val="false"/>
          <w:i w:val="false"/>
          <w:color w:val="000000"/>
          <w:sz w:val="22"/>
        </w:rPr>
        <w:t xml:space="preserve">If the license applicant is a fraternal association, civic organization or other nonprofit entity, the applicant must meet the credit guidelines set forth in subrule </w:t>
      </w:r>
      <w:hyperlink r:id="rId6">
        <w:r>
          <w:rPr>
            <w:rStyle w:val="Hyperlink"/>
            <w:rFonts w:ascii="Times New Roman" w:hAnsi="Times New Roman"/>
            <w:b w:val="false"/>
            <w:i w:val="false"/>
            <w:color w:val="000000"/>
            <w:sz w:val="22"/>
          </w:rPr>
          <w:t>12.16(1)</w:t>
        </w:r>
      </w:hyperlink>
      <w:r>
        <w:rPr>
          <w:rFonts w:ascii="Times New Roman" w:hAnsi="Times New Roman"/>
          <w:b w:val="false"/>
          <w:i w:val="false"/>
          <w:color w:val="000000"/>
          <w:sz w:val="22"/>
        </w:rPr>
        <w:t xml:space="preserve">. If the fraternal or civic association or other nonprofit entity has no credit history or the credit history is incomplete in the sole discretion of the lottery, then the officers of the fraternal or civic association or other nonprofit entity must meet the requirements of subrule </w:t>
      </w:r>
      <w:hyperlink r:id="rId7">
        <w:r>
          <w:rPr>
            <w:rStyle w:val="Hyperlink"/>
            <w:rFonts w:ascii="Times New Roman" w:hAnsi="Times New Roman"/>
            <w:b w:val="false"/>
            <w:i w:val="false"/>
            <w:color w:val="000000"/>
            <w:sz w:val="22"/>
          </w:rPr>
          <w:t>12.16(1)</w:t>
        </w:r>
      </w:hyperlink>
      <w:r>
        <w:rPr>
          <w:rFonts w:ascii="Times New Roman" w:hAnsi="Times New Roman"/>
          <w:b w:val="false"/>
          <w:i w:val="false"/>
          <w:color w:val="000000"/>
          <w:sz w:val="22"/>
        </w:rPr>
        <w:t xml:space="preserve">. If the credit history discloses that the requirements of subrule </w:t>
      </w:r>
      <w:hyperlink r:id="rId8">
        <w:r>
          <w:rPr>
            <w:rStyle w:val="Hyperlink"/>
            <w:rFonts w:ascii="Times New Roman" w:hAnsi="Times New Roman"/>
            <w:b w:val="false"/>
            <w:i w:val="false"/>
            <w:color w:val="000000"/>
            <w:sz w:val="22"/>
          </w:rPr>
          <w:t>12.16(1)</w:t>
        </w:r>
      </w:hyperlink>
      <w:r>
        <w:rPr>
          <w:rFonts w:ascii="Times New Roman" w:hAnsi="Times New Roman"/>
          <w:b w:val="false"/>
          <w:i w:val="false"/>
          <w:color w:val="000000"/>
          <w:sz w:val="22"/>
        </w:rPr>
        <w:t xml:space="preserve"> are satisfied, the lottery will not require a bond.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12.16(4)</w:t>
      </w:r>
      <w:r>
        <w:rPr>
          <w:rFonts w:ascii="Times New Roman" w:hAnsi="Times New Roman"/>
          <w:b w:val="false"/>
          <w:i w:val="false"/>
          <w:color w:val="000000"/>
          <w:sz w:val="22"/>
        </w:rPr>
        <w:t> </w:t>
      </w:r>
      <w:r>
        <w:rPr>
          <w:rFonts w:ascii="Times New Roman" w:hAnsi="Times New Roman"/>
          <w:b w:val="false"/>
          <w:i/>
          <w:color w:val="000000"/>
          <w:sz w:val="22"/>
        </w:rPr>
        <w:t xml:space="preserve">Corporations and limited liability companies in existence two years or more if a credit risk appraisal is available through a financial and credit reporting entity. </w:t>
      </w:r>
      <w:r>
        <w:rPr>
          <w:rFonts w:ascii="Times New Roman" w:hAnsi="Times New Roman"/>
          <w:b w:val="false"/>
          <w:i w:val="false"/>
          <w:color w:val="000000"/>
          <w:sz w:val="22"/>
        </w:rPr>
        <w:t>If the license applicant is a corporation or a limited liability company and the corporation or the limited liability company has been in existence for more than two years from the date of the application and a credit risk appraisal is available through a financial and credit reporting entity, the license applicant must meet all of the following financial responsibility guidelines: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license applicant is paying 60 percent of its suppliers on time or within terms;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license applicant must have a credit risk appraisal provided by a financial and credit reporting entity that indicates the corporation’s or limited liability company’s financial condition is fair or better.</w:t>
      </w:r>
    </w:p>
    <w:p>
      <w:pPr>
        <w:spacing w:before="0" w:after="0"/>
        <w:ind w:left="120"/>
        <w:jc w:val="both"/>
      </w:pPr>
      <w:r>
        <w:rPr>
          <w:rFonts w:ascii="Times New Roman" w:hAnsi="Times New Roman"/>
          <w:b w:val="false"/>
          <w:i w:val="false"/>
          <w:color w:val="000000"/>
          <w:sz w:val="22"/>
        </w:rPr>
        <w:t>If the corporation or the limited liability company meets the guidelines described in this rule, the lottery will not require a bond from the license applicant.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12.16(5)</w:t>
      </w:r>
      <w:r>
        <w:rPr>
          <w:rFonts w:ascii="Times New Roman" w:hAnsi="Times New Roman"/>
          <w:b w:val="false"/>
          <w:i w:val="false"/>
          <w:color w:val="000000"/>
          <w:sz w:val="22"/>
        </w:rPr>
        <w:t> </w:t>
      </w:r>
      <w:r>
        <w:rPr>
          <w:rFonts w:ascii="Times New Roman" w:hAnsi="Times New Roman"/>
          <w:b w:val="false"/>
          <w:i/>
          <w:color w:val="000000"/>
          <w:sz w:val="22"/>
        </w:rPr>
        <w:t xml:space="preserve">Corporations and limited liability companies in existence less than two years or if a credit risk appraisal is not available through a financial and credit reporting entity. </w:t>
      </w:r>
      <w:r>
        <w:rPr>
          <w:rFonts w:ascii="Times New Roman" w:hAnsi="Times New Roman"/>
          <w:b w:val="false"/>
          <w:i w:val="false"/>
          <w:color w:val="000000"/>
          <w:sz w:val="22"/>
        </w:rPr>
        <w:t xml:space="preserve">If a corporation has been in existence for less than two years from the date of the application or a credit risk appraisal is not available through a financial and credit reporting entity, the lottery will review the credit history of the corporate officers who hold 10 percent or more of the stock of the corporation. If a limited liability company has been in existence for less than two years or a credit risk appraisal is not available through a financial and credit reporting entity, the lottery will review the credit history of the members of a limited liability company who have contributed 10 percent or more to the capital of the limited liability company. Fifty percent or more of the corporate officers or members of the limited liability company must meet the credit guidelines set forth in subrule </w:t>
      </w:r>
      <w:hyperlink r:id="rId9">
        <w:r>
          <w:rPr>
            <w:rStyle w:val="Hyperlink"/>
            <w:rFonts w:ascii="Times New Roman" w:hAnsi="Times New Roman"/>
            <w:b w:val="false"/>
            <w:i w:val="false"/>
            <w:color w:val="000000"/>
            <w:sz w:val="22"/>
          </w:rPr>
          <w:t>12.16(1)</w:t>
        </w:r>
      </w:hyperlink>
      <w:r>
        <w:rPr>
          <w:rFonts w:ascii="Times New Roman" w:hAnsi="Times New Roman"/>
          <w:b w:val="false"/>
          <w:i w:val="false"/>
          <w:color w:val="000000"/>
          <w:sz w:val="22"/>
        </w:rPr>
        <w:t xml:space="preserve">. If the corporate officers or the members of the limited liability company meet the requirements set forth in subrule </w:t>
      </w:r>
      <w:hyperlink r:id="rId10">
        <w:r>
          <w:rPr>
            <w:rStyle w:val="Hyperlink"/>
            <w:rFonts w:ascii="Times New Roman" w:hAnsi="Times New Roman"/>
            <w:b w:val="false"/>
            <w:i w:val="false"/>
            <w:color w:val="000000"/>
            <w:sz w:val="22"/>
          </w:rPr>
          <w:t>12.16(1)</w:t>
        </w:r>
      </w:hyperlink>
      <w:r>
        <w:rPr>
          <w:rFonts w:ascii="Times New Roman" w:hAnsi="Times New Roman"/>
          <w:b w:val="false"/>
          <w:i w:val="false"/>
          <w:color w:val="000000"/>
          <w:sz w:val="22"/>
        </w:rPr>
        <w:t>, the lottery will not require the corporation or the limited liability company to obtain a bond.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12.16(6)</w:t>
      </w:r>
      <w:r>
        <w:rPr>
          <w:rFonts w:ascii="Times New Roman" w:hAnsi="Times New Roman"/>
          <w:b w:val="false"/>
          <w:i w:val="false"/>
          <w:color w:val="000000"/>
          <w:sz w:val="22"/>
        </w:rPr>
        <w:t> </w:t>
      </w:r>
      <w:r>
        <w:rPr>
          <w:rFonts w:ascii="Times New Roman" w:hAnsi="Times New Roman"/>
          <w:b w:val="false"/>
          <w:i/>
          <w:color w:val="000000"/>
          <w:sz w:val="22"/>
        </w:rPr>
        <w:t xml:space="preserve">Bonding requirements. </w:t>
      </w:r>
      <w:r>
        <w:rPr>
          <w:rFonts w:ascii="Times New Roman" w:hAnsi="Times New Roman"/>
          <w:b w:val="false"/>
          <w:i w:val="false"/>
          <w:color w:val="000000"/>
          <w:sz w:val="22"/>
        </w:rPr>
        <w:t xml:space="preserve">With respect to any license applicant whose credit history does not meet the guidelines described in subrules </w:t>
      </w:r>
      <w:hyperlink r:id="rId11">
        <w:r>
          <w:rPr>
            <w:rStyle w:val="Hyperlink"/>
            <w:rFonts w:ascii="Times New Roman" w:hAnsi="Times New Roman"/>
            <w:b w:val="false"/>
            <w:i w:val="false"/>
            <w:color w:val="000000"/>
            <w:sz w:val="22"/>
          </w:rPr>
          <w:t>12.16(1)</w:t>
        </w:r>
      </w:hyperlink>
      <w:r>
        <w:rPr>
          <w:rFonts w:ascii="Times New Roman" w:hAnsi="Times New Roman"/>
          <w:b w:val="false"/>
          <w:i w:val="false"/>
          <w:color w:val="000000"/>
          <w:sz w:val="22"/>
        </w:rPr>
        <w:t xml:space="preserve"> through </w:t>
      </w:r>
      <w:hyperlink r:id="rId12">
        <w:r>
          <w:rPr>
            <w:rStyle w:val="Hyperlink"/>
            <w:rFonts w:ascii="Times New Roman" w:hAnsi="Times New Roman"/>
            <w:b w:val="false"/>
            <w:i w:val="false"/>
            <w:color w:val="000000"/>
            <w:sz w:val="22"/>
          </w:rPr>
          <w:t>12.16(5)</w:t>
        </w:r>
      </w:hyperlink>
      <w:r>
        <w:rPr>
          <w:rFonts w:ascii="Times New Roman" w:hAnsi="Times New Roman"/>
          <w:b w:val="false"/>
          <w:i w:val="false"/>
          <w:color w:val="000000"/>
          <w:sz w:val="22"/>
        </w:rPr>
        <w:t>, the applicant will be required to obtain a bond from a surety company authorized to do business in Iowa or offer a cash bond in the amounts generally described herein. The amount of the bond will vary depending on the type of lottery products sold by the license applicant, the sales history of the retail location or the average volume of sales of lottery products at the location, or a combination of the above factors. The following minimum amounts will be required: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Sale of pull-tab tickets only, $500.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Sale of instant tickets with or without pull-tab tickets, $1,500.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Sale of on-line games with or without instant and pull-tab tickets, $2,500.</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12.16(7)</w:t>
      </w:r>
      <w:r>
        <w:rPr>
          <w:rFonts w:ascii="Times New Roman" w:hAnsi="Times New Roman"/>
          <w:b w:val="false"/>
          <w:i w:val="false"/>
          <w:color w:val="000000"/>
          <w:sz w:val="22"/>
        </w:rPr>
        <w:t> </w:t>
      </w:r>
      <w:r>
        <w:rPr>
          <w:rFonts w:ascii="Times New Roman" w:hAnsi="Times New Roman"/>
          <w:b w:val="false"/>
          <w:i/>
          <w:color w:val="000000"/>
          <w:sz w:val="22"/>
        </w:rPr>
        <w:t xml:space="preserve">Holding period for bond. </w:t>
      </w:r>
      <w:r>
        <w:rPr>
          <w:rFonts w:ascii="Times New Roman" w:hAnsi="Times New Roman"/>
          <w:b w:val="false"/>
          <w:i w:val="false"/>
          <w:color w:val="000000"/>
          <w:sz w:val="22"/>
        </w:rPr>
        <w:t>The lottery will hold the bond provided by license applicant for a minimum time period of one year. Thereafter, the lottery will review the credit history of the licensed retailer. If the retailer’s account history shows no delinquent payments, the lottery will release the bond.</w:t>
      </w:r>
    </w:p>
    <w:p>
      <w:pPr>
        <w:spacing w:before="0" w:after="0"/>
        <w:ind w:left="120"/>
        <w:jc w:val="left"/>
      </w:pPr>
      <w:r>
        <w:rPr>
          <w:rFonts w:ascii="Times New Roman" w:hAnsi="Times New Roman"/>
          <w:b w:val="false"/>
          <w:i w:val="false"/>
          <w:color w:val="000000"/>
          <w:sz w:val="22"/>
        </w:rPr>
        <w:t xml:space="preserve">This rule is intended to implement Iowa Code sections </w:t>
      </w:r>
      <w:hyperlink r:id="rId13">
        <w:r>
          <w:rPr>
            <w:rStyle w:val="Hyperlink"/>
            <w:rFonts w:ascii="Times New Roman" w:hAnsi="Times New Roman"/>
            <w:b w:val="false"/>
            <w:i w:val="false"/>
            <w:color w:val="000000"/>
            <w:sz w:val="22"/>
          </w:rPr>
          <w:t>99G.7(1)</w:t>
        </w:r>
      </w:hyperlink>
      <w:r>
        <w:rPr>
          <w:rFonts w:ascii="Times New Roman" w:hAnsi="Times New Roman"/>
          <w:b w:val="false"/>
          <w:i w:val="false"/>
          <w:color w:val="000000"/>
          <w:sz w:val="22"/>
        </w:rPr>
        <w:t xml:space="preserve"> and </w:t>
      </w:r>
      <w:hyperlink r:id="rId14">
        <w:r>
          <w:rPr>
            <w:rStyle w:val="Hyperlink"/>
            <w:rFonts w:ascii="Times New Roman" w:hAnsi="Times New Roman"/>
            <w:b w:val="false"/>
            <w:i w:val="false"/>
            <w:color w:val="000000"/>
            <w:sz w:val="22"/>
          </w:rPr>
          <w:t>99G.26</w:t>
        </w:r>
      </w:hyperlink>
      <w:r>
        <w:rPr>
          <w:rFonts w:ascii="Times New Roman" w:hAnsi="Times New Roman"/>
          <w:b w:val="false"/>
          <w:i w:val="false"/>
          <w:color w:val="000000"/>
          <w:sz w:val="22"/>
        </w:rPr>
        <w:t>.</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ac/rule/531.12.16.pdf" Type="http://schemas.openxmlformats.org/officeDocument/2006/relationships/hyperlink" Id="rId4"/>
    <Relationship TargetMode="External" Target="https://www.legis.iowa.gov/docs/iac/rule/531.12.16.pdf" Type="http://schemas.openxmlformats.org/officeDocument/2006/relationships/hyperlink" Id="rId5"/>
    <Relationship TargetMode="External" Target="https://www.legis.iowa.gov/docs/iac/rule/531.12.16.pdf" Type="http://schemas.openxmlformats.org/officeDocument/2006/relationships/hyperlink" Id="rId6"/>
    <Relationship TargetMode="External" Target="https://www.legis.iowa.gov/docs/iac/rule/531.12.16.pdf" Type="http://schemas.openxmlformats.org/officeDocument/2006/relationships/hyperlink" Id="rId7"/>
    <Relationship TargetMode="External" Target="https://www.legis.iowa.gov/docs/iac/rule/531.12.16.pdf" Type="http://schemas.openxmlformats.org/officeDocument/2006/relationships/hyperlink" Id="rId8"/>
    <Relationship TargetMode="External" Target="https://www.legis.iowa.gov/docs/iac/rule/531.12.16.pdf" Type="http://schemas.openxmlformats.org/officeDocument/2006/relationships/hyperlink" Id="rId9"/>
    <Relationship TargetMode="External" Target="https://www.legis.iowa.gov/docs/iac/rule/531.12.16.pdf" Type="http://schemas.openxmlformats.org/officeDocument/2006/relationships/hyperlink" Id="rId10"/>
    <Relationship TargetMode="External" Target="https://www.legis.iowa.gov/docs/iac/rule/531.12.16.pdf" Type="http://schemas.openxmlformats.org/officeDocument/2006/relationships/hyperlink" Id="rId11"/>
    <Relationship TargetMode="External" Target="https://www.legis.iowa.gov/docs/iac/rule/531.12.16.pdf" Type="http://schemas.openxmlformats.org/officeDocument/2006/relationships/hyperlink" Id="rId12"/>
    <Relationship TargetMode="External" Target="https://www.legis.iowa.gov/docs/ico/chapter/99G.7.pdf" Type="http://schemas.openxmlformats.org/officeDocument/2006/relationships/hyperlink" Id="rId13"/>
    <Relationship TargetMode="External" Target="https://www.legis.iowa.gov/docs/ico/chapter/99G.26.pdf" Type="http://schemas.openxmlformats.org/officeDocument/2006/relationships/hyperlink" Id="rId14"/>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