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531—12.14</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Licensee’s obligation. </w:t>
      </w:r>
      <w:r>
        <w:rPr>
          <w:rFonts w:ascii="Times New Roman" w:hAnsi="Times New Roman"/>
          <w:b w:val="false"/>
          <w:i w:val="false"/>
          <w:color w:val="000000"/>
          <w:sz w:val="22"/>
        </w:rPr>
        <w:t xml:space="preserve">Licensees and license applicants must keep the lottery informed of all court actions and all child support recovery unit actions or centralized collection unit actions taken under or in connection with Iowa Code chapter </w:t>
      </w:r>
      <w:hyperlink r:id="rId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Licensees and applicants must also provide the lottery with copies, within seven days of filing or issuance, of all applications filed with the district court pursuant to Iowa Code section </w:t>
      </w:r>
      <w:hyperlink r:id="rId6">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all court orders entered in such actions, and any withdrawals of certificates of noncompliance by the child support recovery unit or centralized collections unit.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w:t>
      </w:r>
      <w:hyperlink r:id="rId10">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6608C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J.pdf" Type="http://schemas.openxmlformats.org/officeDocument/2006/relationships/hyperlink" Id="rId4"/>
    <Relationship TargetMode="External" Target="https://www.legis.iowa.gov/docs/ico/chapter/272D.pdf" Type="http://schemas.openxmlformats.org/officeDocument/2006/relationships/hyperlink" Id="rId5"/>
    <Relationship TargetMode="External" Target="https://www.legis.iowa.gov/docs/ico/chapter/252J.9.pdf" Type="http://schemas.openxmlformats.org/officeDocument/2006/relationships/hyperlink" Id="rId6"/>
    <Relationship TargetMode="External" Target="https://www.legis.iowa.gov/docs/ico/chapter/272D.9.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21.pdf" Type="http://schemas.openxmlformats.org/officeDocument/2006/relationships/hyperlink" Id="rId9"/>
    <Relationship TargetMode="External" Target="https://www.legis.iowa.gov/docs/ico/chapter/252J.8.pdf" Type="http://schemas.openxmlformats.org/officeDocument/2006/relationships/hyperlink" Id="rId10"/>
    <Relationship TargetMode="External" Target="https://www.legis.iowa.gov/docs/ico/chapter/272D.8.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