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531—12.12</w:t>
      </w:r>
      <w:r>
        <w:rPr>
          <w:rFonts w:ascii="Times New Roman" w:hAnsi="Times New Roman"/>
          <w:b/>
          <w:i w:val="false"/>
          <w:color w:val="000000"/>
          <w:sz w:val="22"/>
        </w:rPr>
        <w:t xml:space="preserve">(99G,252J,272D) </w:t>
      </w:r>
      <w:r>
        <w:rPr>
          <w:rFonts w:ascii="Times New Roman" w:hAnsi="Times New Roman"/>
          <w:b/>
          <w:i w:val="false"/>
          <w:color w:val="000000"/>
          <w:sz w:val="22"/>
        </w:rPr>
        <w:t xml:space="preserve">Suspension or revocation of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w:t>
      </w:r>
      <w:r>
        <w:rPr>
          <w:rFonts w:ascii="Times New Roman" w:hAnsi="Times New Roman"/>
          <w:b w:val="false"/>
          <w:i w:val="false"/>
          <w:color w:val="000000"/>
          <w:sz w:val="22"/>
        </w:rPr>
        <w:t> </w:t>
      </w:r>
      <w:r>
        <w:rPr>
          <w:rFonts w:ascii="Times New Roman" w:hAnsi="Times New Roman"/>
          <w:b w:val="false"/>
          <w:i w:val="false"/>
          <w:color w:val="000000"/>
          <w:sz w:val="22"/>
        </w:rPr>
        <w:t>The lottery may suspend or revoke any license issued pursuant to these rules for one or more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meet or maintain the eligibility criteria for license application and issuance established by Iowa Code chapter </w:t>
      </w:r>
      <w:hyperlink r:id="rId4">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provisions of Iowa Code chapter </w:t>
      </w:r>
      <w:hyperlink r:id="rId5">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these rules, or the license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file any return or report or to keep records required by the lottery; failing to maintain an acceptable level of financial responsibility as evidenced by the financial condition of the business, incidents of failure to pay taxes or other debts, or by the giving of financial instruments that are dishonored or electronic funds transfers that are not paid; fraud, deceit, misrepresentation, or other conduct prejudicial to the public confidence in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public convenience is adequately served by other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Failing to sell a minimum number of tickets as established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history of thefts or other forms of losses of tickets or revenue from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Violating federal, state, or local law or allowing the violation of any of these laws on premises occupied by or controlled by any person over whom the retailer has substantial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Obtaining a license by fraud, misrepresentation, concealment or through inadvertence or mistake.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Making a misrepresentation of fact to the board or lottery on any report, record, application form, or questionnaire required to be submitted to the board or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Denying the lottery or its authorized representative, including authorized local law enforcement agencies, access to any place where a licensed activity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Failing to promptly produce for inspection or audit any book, record, document, or other item required to be produced by law, these rules, or the terms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Systematically pursuing economic gain in an occupational manner or context which is in violation of the criminal or civil public policy of this state if such pursuit creates cause to believe that the participation of such person in these activities is inimical to the proper operation of an authorized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Failing to follow the instructions of the lottery for the conduct of any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Failing to follow security procedures of the lottery for the management of personnel, handling of tickets, or for the conduct of any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Making a misrepresentation of fact to a purchaser, or prospective purchaser, of a ticket, or to the general public with respect to the conduct of a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For a licensee who is an individual, when the lottery receives a certificate of noncompliance from the child support recovery unit in regard to the licensee, unless the unit furnishes the department with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Allowing activities on the licensed premises that could compromise the dignity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accurately or timely account or pay for lottery products, lottery games, revenues, or prizes as required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Filing for or being placed in bankruptcy or receivership.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likely to result in injury to the property, revenue, or reputation of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Making any material change, as determined in the sole discretion of the lottery, in any matter considered by the lottery in executing the contract with the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lottery receives a certificate of noncompliance from the centralized collection unit of the department of revenue in regard to nonpayment of a state debt, unless the unit furnishes the lottery with a withdrawal of the certificate of noncompliance. This paragraph applies both to sole proprietorships and to persons with the requisite ownership interest in or relation to any other organized business entity as set forth in </w:t>
      </w:r>
      <w:hyperlink r:id="rId6">
        <w:r>
          <w:rPr>
            <w:rStyle w:val="Hyperlink"/>
            <w:rFonts w:ascii="Times New Roman" w:hAnsi="Times New Roman"/>
            <w:b w:val="false"/>
            <w:i w:val="false"/>
            <w:color w:val="000000"/>
            <w:sz w:val="22"/>
          </w:rPr>
          <w:t>531—12.3</w:t>
        </w:r>
      </w:hyperlink>
      <w:r>
        <w:rPr>
          <w:rFonts w:ascii="Times New Roman" w:hAnsi="Times New Roman"/>
          <w:b w:val="false"/>
          <w:i w:val="false"/>
          <w:color w:val="000000"/>
          <w:sz w:val="22"/>
        </w:rPr>
        <w:t xml:space="preserve">(99G). This paragraph applies in addition to the procedures set forth in Iowa Code chapter </w:t>
      </w:r>
      <w:hyperlink r:id="rId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revocation or suspension of a license, or denial of the issuance or renewal of a license, as specified in the notice required by Iowa Code section </w:t>
      </w:r>
      <w:hyperlink r:id="rId8">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60 days following service of the notice upon the licensee. The effective date of revocation or suspension of a license, or denial of the issuance or renewal of a license, for nonpayment of state debt, as specified in the notice required by Iowa Code section </w:t>
      </w:r>
      <w:hyperlink r:id="rId9">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shall be 60 days following service of the notice upon the licensee. The effective date for all other notices of revocation or suspension shall be 20 days following service upon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retailer’s license is suspended for more than 180 days from the effective date of the suspension, the lottery will revoke the retailer’s license upon 15 days’ notice served in conformance with </w:t>
      </w:r>
      <w:hyperlink r:id="rId10">
        <w:r>
          <w:rPr>
            <w:rStyle w:val="Hyperlink"/>
            <w:rFonts w:ascii="Times New Roman" w:hAnsi="Times New Roman"/>
            <w:b w:val="false"/>
            <w:i w:val="false"/>
            <w:color w:val="000000"/>
            <w:sz w:val="22"/>
          </w:rPr>
          <w:t>531—12.13(99G,252J,272D)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suspicion that a retailer has sold a ticket to an underage player, the lottery will investigate and provide a written warning to the retailer describing the report of the event and of the potential violation of Iowa Code section </w:t>
      </w:r>
      <w:hyperlink r:id="rId11">
        <w:r>
          <w:rPr>
            <w:rStyle w:val="Hyperlink"/>
            <w:rFonts w:ascii="Times New Roman" w:hAnsi="Times New Roman"/>
            <w:b w:val="false"/>
            <w:i w:val="false"/>
            <w:color w:val="000000"/>
            <w:sz w:val="22"/>
          </w:rPr>
          <w:t>99G.30(3)</w:t>
        </w:r>
      </w:hyperlink>
      <w:r>
        <w:rPr>
          <w:rFonts w:ascii="Times New Roman" w:hAnsi="Times New Roman"/>
          <w:b w:val="false"/>
          <w:i w:val="false"/>
          <w:color w:val="000000"/>
          <w:sz w:val="22"/>
        </w:rPr>
        <w:t>. In the event a retailer sells a ticket to an underage player and the lottery can substantiate the claim, the lottery may suspend the retailer’s license for 7 days. When a retailer sells a ticket to an underage player and the lottery can substantiate the claim a second time in a period of one year from the date of the first event, the lottery may suspend the retailer’s license for a period of 30 days. When a retailer sells a ticket to an underage player and the lottery can substantiate the claim a third time in a period of one year from the date of the first event as described in this rule, the retailer’s license may be suspended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12.12(5)</w:t>
      </w:r>
      <w:r>
        <w:rPr>
          <w:rFonts w:ascii="Times New Roman" w:hAnsi="Times New Roman"/>
          <w:b w:val="false"/>
          <w:i w:val="false"/>
          <w:color w:val="000000"/>
          <w:sz w:val="22"/>
        </w:rPr>
        <w:t> </w:t>
      </w:r>
      <w:r>
        <w:rPr>
          <w:rFonts w:ascii="Times New Roman" w:hAnsi="Times New Roman"/>
          <w:b w:val="false"/>
          <w:i w:val="false"/>
          <w:color w:val="000000"/>
          <w:sz w:val="22"/>
        </w:rPr>
        <w:t>Upon revocation or suspension of a retailer’s license of 30 days or longer, the retailer shall surrender to the lottery, by a date designated by the lottery, the license, lottery identification card, and all other lottery property. The lottery will settle the retailer’s account as if the retailer had terminated its relationship with the lottery voluntarily.</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99G.30(3)</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99G.35</w:t>
        </w:r>
      </w:hyperlink>
      <w:r>
        <w:rPr>
          <w:rFonts w:ascii="Times New Roman" w:hAnsi="Times New Roman"/>
          <w:b w:val="false"/>
          <w:i w:val="false"/>
          <w:color w:val="000000"/>
          <w:sz w:val="22"/>
        </w:rPr>
        <w:t>, </w:t>
      </w:r>
      <w:hyperlink r:id="rId18">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272D.8(2)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1462C</w:t>
      </w:r>
      <w:r>
        <w:rPr>
          <w:rFonts w:ascii="Times New Roman" w:hAnsi="Times New Roman"/>
          <w:b w:val="false"/>
          <w:i w:val="false"/>
          <w:color w:val="000000"/>
          <w:sz w:val="16"/>
        </w:rPr>
        <w:t>, IAB 5/14/14, effective 6/18/14</w:t>
      </w:r>
      <w:r>
        <w:rPr>
          <w:rFonts w:ascii="Times New Roman" w:hAnsi="Times New Roman"/>
          <w:b w:val="false"/>
          <w:i w:val="false"/>
          <w:color w:val="000000"/>
          <w:sz w:val="16"/>
        </w:rPr>
        <w:t xml:space="preserve">; </w:t>
      </w:r>
      <w:r>
        <w:rPr>
          <w:rFonts w:ascii="Times New Roman" w:hAnsi="Times New Roman"/>
          <w:b/>
          <w:i w:val="false"/>
          <w:color w:val="000000"/>
          <w:sz w:val="16"/>
        </w:rPr>
        <w:t>ARC 6608C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pdf" Type="http://schemas.openxmlformats.org/officeDocument/2006/relationships/hyperlink" Id="rId4"/>
    <Relationship TargetMode="External" Target="https://www.legis.iowa.gov/docs/ico/chapter/99G.pdf" Type="http://schemas.openxmlformats.org/officeDocument/2006/relationships/hyperlink" Id="rId5"/>
    <Relationship TargetMode="External" Target="https://www.legis.iowa.gov/docs/iac/rule/531.12.3.pdf" Type="http://schemas.openxmlformats.org/officeDocument/2006/relationships/hyperlink" Id="rId6"/>
    <Relationship TargetMode="External" Target="https://www.legis.iowa.gov/docs/ico/chapter/272D.pdf" Type="http://schemas.openxmlformats.org/officeDocument/2006/relationships/hyperlink" Id="rId7"/>
    <Relationship TargetMode="External" Target="https://www.legis.iowa.gov/docs/ico/chapter/252J.8.pdf" Type="http://schemas.openxmlformats.org/officeDocument/2006/relationships/hyperlink" Id="rId8"/>
    <Relationship TargetMode="External" Target="https://www.legis.iowa.gov/docs/ico/chapter/272D.8.pdf" Type="http://schemas.openxmlformats.org/officeDocument/2006/relationships/hyperlink" Id="rId9"/>
    <Relationship TargetMode="External" Target="https://www.legis.iowa.gov/docs/iac/rule/531.12.13.pdf" Type="http://schemas.openxmlformats.org/officeDocument/2006/relationships/hyperlink" Id="rId10"/>
    <Relationship TargetMode="External" Target="https://www.legis.iowa.gov/docs/ico/chapter/99G.30.pdf" Type="http://schemas.openxmlformats.org/officeDocument/2006/relationships/hyperlink" Id="rId11"/>
    <Relationship TargetMode="External" Target="https://www.legis.iowa.gov/docs/ico/chapter/99G.9.pdf" Type="http://schemas.openxmlformats.org/officeDocument/2006/relationships/hyperlink" Id="rId12"/>
    <Relationship TargetMode="External" Target="https://www.legis.iowa.gov/docs/ico/chapter/99G.21.pdf" Type="http://schemas.openxmlformats.org/officeDocument/2006/relationships/hyperlink" Id="rId13"/>
    <Relationship TargetMode="External" Target="https://www.legis.iowa.gov/docs/ico/chapter/99G.24.pdf" Type="http://schemas.openxmlformats.org/officeDocument/2006/relationships/hyperlink" Id="rId14"/>
    <Relationship TargetMode="External" Target="https://www.legis.iowa.gov/docs/ico/chapter/99G.27.pdf" Type="http://schemas.openxmlformats.org/officeDocument/2006/relationships/hyperlink" Id="rId15"/>
    <Relationship TargetMode="External" Target="https://www.legis.iowa.gov/docs/ico/chapter/99G.30.pdf" Type="http://schemas.openxmlformats.org/officeDocument/2006/relationships/hyperlink" Id="rId16"/>
    <Relationship TargetMode="External" Target="https://www.legis.iowa.gov/docs/ico/chapter/99G.35.pdf" Type="http://schemas.openxmlformats.org/officeDocument/2006/relationships/hyperlink" Id="rId17"/>
    <Relationship TargetMode="External" Target="https://www.legis.iowa.gov/docs/ico/chapter/252J.8.pdf" Type="http://schemas.openxmlformats.org/officeDocument/2006/relationships/hyperlink" Id="rId18"/>
    <Relationship TargetMode="External" Target="https://www.legis.iowa.gov/docs/ico/chapter/272D.8.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