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Reporting changes in circumstances of the retailer.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change of business structure of a licensed business, such as from a sole proprietorship to a corporation, and every change in the name of a business must be reported to the lottery prior to the change. Substantial changes in the ownership of a licensed business must also be reported to the lottery prior to the change. A substantial change of ownership is defined as the transfer of 10 percent or more equity in the licensed business from or to another single individual or legal entity. If a change involves the addition or deletion of one or more existing owners or officers, the licensee shall submit a license application reflecting the change and any other documentation the lottery may require. All changes will be reviewed by the lottery to determine if the existing license should be continued.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