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531—12.1</w:t>
      </w:r>
      <w:r>
        <w:rPr>
          <w:rFonts w:ascii="Times New Roman" w:hAnsi="Times New Roman"/>
          <w:b/>
          <w:i w:val="false"/>
          <w:color w:val="000000"/>
          <w:sz w:val="22"/>
        </w:rPr>
        <w:t xml:space="preserve">(99G,252J,272D) </w:t>
      </w:r>
      <w:r>
        <w:rPr>
          <w:rFonts w:ascii="Times New Roman" w:hAnsi="Times New Roman"/>
          <w:b/>
          <w:i w:val="false"/>
          <w:color w:val="000000"/>
          <w:sz w:val="22"/>
        </w:rPr>
        <w:t xml:space="preserve">License eligibility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A person, partnership, unincorporated association, authority, or other business entity shall not be selected as a lottery retailer if the person or entity meets any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 criminal offense related to the security or integrity of the lottery in Iowa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been convicted of any illegal gambling activity, false statements, perjury, fraud, or a felony in Iowa or any 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found to have violated the provisions of Iowa Code chapter </w:t>
      </w:r>
      <w:hyperlink r:id="rId4">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or any regulation, policy, or procedure of the lottery, unless either ten years have passed since the violation or the board finds the violation both minor and unintentional in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 a vendor or any employee or agent of any vendor doing business with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Resides in the same household as an officer of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natural person, is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Does not demonstrate financial responsibility sufficient to adequately meet the requirements of the proposed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Has not demonstrated that the applicant is the true owner of the business proposed to be licensed and that all persons holding at least a 10 percent ownership interest in the applicant’s business have been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Has knowingly made a false statement of material fact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The applicant shall be current in filing all applicable tax returns to the state of Iowa and in payment of all taxes, interest, and penalties owed to the state of Iowa, excluding items under formal appeal pursuant to applicable statutes.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The lottery will deny a license to any applicant who is an individual if the lottery has received a certificate of noncompliance from the child support recovery unit with regard to the individual, until the unit furnishes the lottery with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12.1(4)</w:t>
      </w:r>
      <w:r>
        <w:rPr>
          <w:rFonts w:ascii="Times New Roman" w:hAnsi="Times New Roman"/>
          <w:b w:val="false"/>
          <w:i w:val="false"/>
          <w:color w:val="000000"/>
          <w:sz w:val="22"/>
        </w:rPr>
        <w:t> </w:t>
      </w:r>
      <w:r>
        <w:rPr>
          <w:rFonts w:ascii="Times New Roman" w:hAnsi="Times New Roman"/>
          <w:b w:val="false"/>
          <w:i w:val="false"/>
          <w:color w:val="000000"/>
          <w:sz w:val="22"/>
        </w:rPr>
        <w:t>The lottery will deny a license to any applicant defined by this chapter if the lottery has received a certificate of noncompliance from the centralized collection unit of the department of revenue with regard to the individual, until the unit furnishes the lottery with a withdrawal of the certificate of noncompliance.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99G.7(1)</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w:t>
      </w:r>
      <w:hyperlink r:id="rId9">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272D.8</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6608C</w:t>
      </w:r>
      <w:r>
        <w:rPr>
          <w:rFonts w:ascii="Times New Roman" w:hAnsi="Times New Roman"/>
          <w:b w:val="false"/>
          <w:i w:val="false"/>
          <w:color w:val="000000"/>
          <w:sz w:val="16"/>
        </w:rPr>
        <w:t>, IAB 11/2/22, effective 12/7/22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pdf" Type="http://schemas.openxmlformats.org/officeDocument/2006/relationships/hyperlink" Id="rId4"/>
    <Relationship TargetMode="External" Target="https://www.legis.iowa.gov/docs/ico/chapter/99G.7.pdf" Type="http://schemas.openxmlformats.org/officeDocument/2006/relationships/hyperlink" Id="rId5"/>
    <Relationship TargetMode="External" Target="https://www.legis.iowa.gov/docs/ico/chapter/99G.9.pdf" Type="http://schemas.openxmlformats.org/officeDocument/2006/relationships/hyperlink" Id="rId6"/>
    <Relationship TargetMode="External" Target="https://www.legis.iowa.gov/docs/ico/chapter/99G.21.pdf" Type="http://schemas.openxmlformats.org/officeDocument/2006/relationships/hyperlink" Id="rId7"/>
    <Relationship TargetMode="External" Target="https://www.legis.iowa.gov/docs/ico/chapter/99G.24.pdf" Type="http://schemas.openxmlformats.org/officeDocument/2006/relationships/hyperlink" Id="rId8"/>
    <Relationship TargetMode="External" Target="https://www.legis.iowa.gov/docs/ico/chapter/252J.2.pdf" Type="http://schemas.openxmlformats.org/officeDocument/2006/relationships/hyperlink" Id="rId9"/>
    <Relationship TargetMode="External" Target="https://www.legis.iowa.gov/docs/ico/chapter/272D.8.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