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531—11.9</w:t>
      </w:r>
      <w:r>
        <w:rPr>
          <w:rFonts w:ascii="Times New Roman" w:hAnsi="Times New Roman"/>
          <w:b/>
          <w:i w:val="false"/>
          <w:color w:val="000000"/>
          <w:sz w:val="22"/>
        </w:rPr>
        <w:t xml:space="preserve">(99G) </w:t>
      </w:r>
      <w:r>
        <w:rPr>
          <w:rFonts w:ascii="Times New Roman" w:hAnsi="Times New Roman"/>
          <w:b/>
          <w:i w:val="false"/>
          <w:color w:val="000000"/>
          <w:sz w:val="22"/>
        </w:rPr>
        <w:t xml:space="preserve">Prizes payable after death of winner. </w:t>
      </w:r>
      <w:r>
        <w:rPr>
          <w:rFonts w:ascii="Times New Roman" w:hAnsi="Times New Roman"/>
          <w:b w:val="false"/>
          <w:i w:val="false"/>
          <w:color w:val="000000"/>
          <w:sz w:val="22"/>
        </w:rPr>
        <w:t>All prizes and portions of prizes that remain unpaid at the time of the prizewinner’s death shall be payable to the court-appointed representative of the prizewinner’s estate or to a single individual pursuant to the terms of a final order closing the estate.</w:t>
      </w:r>
    </w:p>
    <w:p>
      <w:pPr>
        <w:spacing w:before="0" w:after="0"/>
        <w:ind w:left="120"/>
        <w:jc w:val="left"/>
      </w:pPr>
      <w:r>
        <w:rPr>
          <w:rFonts w:ascii="Times New Roman" w:hAnsi="Times New Roman"/>
          <w:b w:val="false"/>
          <w:i w:val="false"/>
          <w:color w:val="000000"/>
          <w:sz w:val="22"/>
        </w:rPr>
        <w:t>The lottery may withhold payment until it is satisfied that the proper payee has been identified, or it may petition the court to determine the proper payee. In making payment, the lottery may rely wholly on the presentation of a certified copy of the letters of appointment as an administrator, executor, or other personal representative for the prizewinner’s estate or on a certified copy of the final order closing the estate. Payment to the representative of the estate of the deceased owner of any prize winnings or to another individual pursuant to a final order closing the estate shall absolve the lottery authority and employees of the lottery authority of any further liability for payment of prize winnings.</w:t>
      </w:r>
    </w:p>
    <w:p>
      <w:pPr>
        <w:spacing w:before="0" w:after="0"/>
        <w:ind w:left="120"/>
        <w:jc w:val="left"/>
      </w:pPr>
      <w:r>
        <w:rPr>
          <w:rFonts w:ascii="Times New Roman" w:hAnsi="Times New Roman"/>
          <w:b w:val="false"/>
          <w:i w:val="false"/>
          <w:color w:val="000000"/>
          <w:sz w:val="22"/>
        </w:rPr>
        <w:t>If the winner received an annuitized prize funded through the Multi-State Lottery Association (MUSL) or any other multijurisdictional lottery organization in which the Iowa lottery participates as a member, the MUSL board or other organization board, as may be appropriate, in its sole discretion, upon the petition of the estate of the lottery winner (the “estate”), may accelerate the payment of all of the remaining lottery proceeds to the estate. If the winner received an annuitized prize funded solely through the sales from the Iowa lottery, the lottery board, in its sole discretion, upon the petition of the estate of the lottery winner (the “estate”), may accelerate the payment of all of the remaining lottery proceeds to the estate. If such a determination is made, then securities or cash held for the deceased lottery winner, that represents the present value of that portion of the future lottery payments that are to be accelerated, shall be distributed to the estate. The valuation of the securities and determination of the present value of the accelerated lottery payments shall be at the sole discretion of the board granting the petition.</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