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531—11.7</w:t>
      </w:r>
      <w:r>
        <w:rPr>
          <w:rFonts w:ascii="Times New Roman" w:hAnsi="Times New Roman"/>
          <w:b/>
          <w:i w:val="false"/>
          <w:color w:val="000000"/>
          <w:sz w:val="22"/>
        </w:rPr>
        <w:t xml:space="preserve">(99G) </w:t>
      </w:r>
      <w:r>
        <w:rPr>
          <w:rFonts w:ascii="Times New Roman" w:hAnsi="Times New Roman"/>
          <w:b/>
          <w:i w:val="false"/>
          <w:color w:val="000000"/>
          <w:sz w:val="22"/>
        </w:rPr>
        <w:t xml:space="preserve">Time of prize payment. </w:t>
      </w:r>
      <w:r>
        <w:rPr>
          <w:rFonts w:ascii="Times New Roman" w:hAnsi="Times New Roman"/>
          <w:b w:val="false"/>
          <w:i w:val="false"/>
          <w:color w:val="000000"/>
          <w:sz w:val="22"/>
        </w:rPr>
        <w:t>All prizes shall be paid within a reasonable time after a claim is verified by the lottery and a winner is determined. The date of the first installment payment of any prize to be paid in installment payments shall be the date the claim is validated and processed unless a different date is specified for a particular game in these rules or the specific game rules. Subsequent installment payments shall be made approximately weekly, monthly, or annually, from the date the claim is processed and validated in accordance with the type of prize won and the rules applicable to the prize. The lottery may, at any time, delay any prize payment in order to review a change in circumstances relative to the prize awarded, the payee, or the claim.</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