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531—11.4</w:t>
      </w:r>
      <w:r>
        <w:rPr>
          <w:rFonts w:ascii="Times New Roman" w:hAnsi="Times New Roman"/>
          <w:b/>
          <w:i w:val="false"/>
          <w:color w:val="000000"/>
          <w:sz w:val="22"/>
        </w:rPr>
        <w:t xml:space="preserve">(99G) </w:t>
      </w:r>
      <w:r>
        <w:rPr>
          <w:rFonts w:ascii="Times New Roman" w:hAnsi="Times New Roman"/>
          <w:b/>
          <w:i w:val="false"/>
          <w:color w:val="000000"/>
          <w:sz w:val="22"/>
        </w:rPr>
        <w:t xml:space="preserve">Ticket is a bearer instrument. </w:t>
      </w:r>
      <w:r>
        <w:rPr>
          <w:rFonts w:ascii="Times New Roman" w:hAnsi="Times New Roman"/>
          <w:b w:val="false"/>
          <w:i w:val="false"/>
          <w:color w:val="000000"/>
          <w:sz w:val="22"/>
        </w:rPr>
        <w:t>A ticket is a bearer instrument until signed in the space designated on the ticket for signature if a signature space is provided. The person who signs the ticket is thereafter considered the owner of the ticket. All liability of the state, the lottery authority board, the lottery authority, the chief executive officer, and the employees of the lottery terminates upon payment.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99G.9(3)</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99G.21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99G.31</w:t>
        </w:r>
      </w:hyperlink>
      <w:r>
        <w:rPr>
          <w:rFonts w:ascii="Times New Roman" w:hAnsi="Times New Roman"/>
          <w:b w:val="false"/>
          <w:i w:val="false"/>
          <w:color w:val="000000"/>
          <w:sz w:val="22"/>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G.9.pdf" Type="http://schemas.openxmlformats.org/officeDocument/2006/relationships/hyperlink" Id="rId4"/>
    <Relationship TargetMode="External" Target="https://www.legis.iowa.gov/docs/ico/chapter/99G.21.pdf" Type="http://schemas.openxmlformats.org/officeDocument/2006/relationships/hyperlink" Id="rId5"/>
    <Relationship TargetMode="External" Target="https://www.legis.iowa.gov/docs/ico/chapter/99G.31.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