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531—11.12</w:t>
      </w:r>
      <w:r>
        <w:rPr>
          <w:rFonts w:ascii="Times New Roman" w:hAnsi="Times New Roman"/>
          <w:b/>
          <w:i w:val="false"/>
          <w:color w:val="000000"/>
          <w:sz w:val="22"/>
        </w:rPr>
        <w:t xml:space="preserve">(99G) </w:t>
      </w:r>
      <w:r>
        <w:rPr>
          <w:rFonts w:ascii="Times New Roman" w:hAnsi="Times New Roman"/>
          <w:b/>
          <w:i w:val="false"/>
          <w:color w:val="000000"/>
          <w:sz w:val="22"/>
        </w:rPr>
        <w:t xml:space="preserve">Effect of game rules. </w:t>
      </w:r>
      <w:r>
        <w:rPr>
          <w:rFonts w:ascii="Times New Roman" w:hAnsi="Times New Roman"/>
          <w:b w:val="false"/>
          <w:i w:val="false"/>
          <w:color w:val="000000"/>
          <w:sz w:val="22"/>
        </w:rPr>
        <w:t xml:space="preserve">In purchasing a ticket, the player agrees to comply with Iowa Code Supplement chapter </w:t>
      </w:r>
      <w:hyperlink r:id="rId4">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these rules, the specific game rules, lottery instructions and procedures, and the final decisions of the lottery. The lottery’s decisions and judgments in respect to the determination of winning tickets or any other dispute arising from the payment or awarding of prizes shall be final and binding upon all participants in the lottery. If a dispute between the lottery and a player occurs as to whether a ticket is a winning ticket and the prize is not paid, the lottery may, solely at the lottery’s option, replace the ticket with an unplayed ticket of equivalent price from any game or refund the price of the ticket. This shall be the sole and exclusive remedy of the player.</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3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