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531—1.9</w:t>
      </w:r>
      <w:r>
        <w:rPr>
          <w:rFonts w:ascii="Times New Roman" w:hAnsi="Times New Roman"/>
          <w:b/>
          <w:i w:val="false"/>
          <w:color w:val="000000"/>
          <w:sz w:val="22"/>
        </w:rPr>
        <w:t xml:space="preserve">(99G) </w:t>
      </w:r>
      <w:r>
        <w:rPr>
          <w:rFonts w:ascii="Times New Roman" w:hAnsi="Times New Roman"/>
          <w:b/>
          <w:i w:val="false"/>
          <w:color w:val="000000"/>
          <w:sz w:val="22"/>
        </w:rPr>
        <w:t xml:space="preserve">Distribution of tickets by lottery authority. </w:t>
      </w:r>
      <w:r>
        <w:rPr>
          <w:rFonts w:ascii="Times New Roman" w:hAnsi="Times New Roman"/>
          <w:b w:val="false"/>
          <w:i w:val="false"/>
          <w:color w:val="000000"/>
          <w:sz w:val="22"/>
        </w:rPr>
        <w:t>The lottery itself may sell lottery tickets. Ticket sales may be made by the lottery at any location or event deemed appropriate by the lottery. The lottery may distribute lottery tickets or shares for promotional purposes.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21.pdf" Type="http://schemas.openxmlformats.org/officeDocument/2006/relationships/hyperlink" Id="rId4"/>
    <Relationship TargetMode="External" Target="https://www.legis.iowa.gov/docs/ico/chapter/99G.30.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