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531—1.7</w:t>
      </w:r>
      <w:r>
        <w:rPr>
          <w:rFonts w:ascii="Times New Roman" w:hAnsi="Times New Roman"/>
          <w:b/>
          <w:i w:val="false"/>
          <w:color w:val="000000"/>
          <w:sz w:val="22"/>
        </w:rPr>
        <w:t xml:space="preserve">(99G) </w:t>
      </w:r>
      <w:r>
        <w:rPr>
          <w:rFonts w:ascii="Times New Roman" w:hAnsi="Times New Roman"/>
          <w:b/>
          <w:i w:val="false"/>
          <w:color w:val="000000"/>
          <w:sz w:val="22"/>
        </w:rPr>
        <w:t xml:space="preserve">Lottery contracting authority. </w:t>
      </w:r>
      <w:r>
        <w:rPr>
          <w:rFonts w:ascii="Times New Roman" w:hAnsi="Times New Roman"/>
          <w:b w:val="false"/>
          <w:i w:val="false"/>
          <w:color w:val="000000"/>
          <w:sz w:val="22"/>
        </w:rPr>
        <w:t xml:space="preserve">The chief executive officer shall enter into contracts necessary for day-to-day operations, including without limitation contracts for accounting services, security services, annuity purchases, equipment and production, communications, auditing services, legal services, space planning, and remodeling. The chief executive officer may enter into these contracts without presenting these contracts to the board for approval or ratification. Contracts for consulting services that are expected to cost in excess of $25,000 and all contracts for major procurements as defined in Iowa Code Supplement section </w:t>
      </w:r>
      <w:hyperlink r:id="rId4">
        <w:r>
          <w:rPr>
            <w:rStyle w:val="Hyperlink"/>
            <w:rFonts w:ascii="Times New Roman" w:hAnsi="Times New Roman"/>
            <w:b w:val="false"/>
            <w:i w:val="false"/>
            <w:color w:val="000000"/>
            <w:sz w:val="22"/>
          </w:rPr>
          <w:t>99G.3(8)</w:t>
        </w:r>
      </w:hyperlink>
      <w:r>
        <w:rPr>
          <w:rFonts w:ascii="Times New Roman" w:hAnsi="Times New Roman"/>
          <w:b w:val="false"/>
          <w:i w:val="false"/>
          <w:color w:val="000000"/>
          <w:sz w:val="22"/>
        </w:rPr>
        <w:t>, must be ratified by the board in order to be binding on the lottery.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3.pdf" Type="http://schemas.openxmlformats.org/officeDocument/2006/relationships/hyperlink" Id="rId4"/>
    <Relationship TargetMode="External" Target="https://www.legis.iowa.gov/docs/ico/chapter/99G.7.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