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531—1.6</w:t>
      </w:r>
      <w:r>
        <w:rPr>
          <w:rFonts w:ascii="Times New Roman" w:hAnsi="Times New Roman"/>
          <w:b/>
          <w:i w:val="false"/>
          <w:color w:val="000000"/>
          <w:sz w:val="22"/>
        </w:rPr>
        <w:t xml:space="preserve">(99G) </w:t>
      </w:r>
      <w:r>
        <w:rPr>
          <w:rFonts w:ascii="Times New Roman" w:hAnsi="Times New Roman"/>
          <w:b/>
          <w:i w:val="false"/>
          <w:color w:val="000000"/>
          <w:sz w:val="22"/>
        </w:rPr>
        <w:t xml:space="preserve">Specific game rules. </w:t>
      </w:r>
      <w:r>
        <w:rPr>
          <w:rFonts w:ascii="Times New Roman" w:hAnsi="Times New Roman"/>
          <w:b w:val="false"/>
          <w:i w:val="false"/>
          <w:color w:val="000000"/>
          <w:sz w:val="22"/>
        </w:rPr>
        <w:t xml:space="preserve">Specific game rules as authorized in Iowa Code Supplement section </w:t>
      </w:r>
      <w:hyperlink r:id="rId4">
        <w:r>
          <w:rPr>
            <w:rStyle w:val="Hyperlink"/>
            <w:rFonts w:ascii="Times New Roman" w:hAnsi="Times New Roman"/>
            <w:b w:val="false"/>
            <w:i w:val="false"/>
            <w:color w:val="000000"/>
            <w:sz w:val="22"/>
          </w:rPr>
          <w:t>99G.9(4)</w:t>
        </w:r>
      </w:hyperlink>
      <w:r>
        <w:rPr>
          <w:rFonts w:ascii="Times New Roman" w:hAnsi="Times New Roman"/>
          <w:b w:val="false"/>
          <w:i w:val="false"/>
          <w:color w:val="000000"/>
          <w:sz w:val="22"/>
        </w:rPr>
        <w:t xml:space="preserve"> shall be made available by the lottery as necessary for the efficient conduct of specific lottery games. These rules may include, but are not limited to, descriptions of specific games, special promotions, and drawing procedures. Specific game rules shall be provided to board members as soon as is practical following issuance by the lottery. The promulgation of specific game rules is not subject to the requirements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Supplement section </w:t>
      </w:r>
      <w:hyperlink r:id="rId6">
        <w:r>
          <w:rPr>
            <w:rStyle w:val="Hyperlink"/>
            <w:rFonts w:ascii="Times New Roman" w:hAnsi="Times New Roman"/>
            <w:b w:val="false"/>
            <w:i w:val="false"/>
            <w:color w:val="000000"/>
            <w:sz w:val="22"/>
          </w:rPr>
          <w:t>99G.9(4)</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99G.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