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531—1.5</w:t>
      </w:r>
      <w:r>
        <w:rPr>
          <w:rFonts w:ascii="Times New Roman" w:hAnsi="Times New Roman"/>
          <w:b/>
          <w:i w:val="false"/>
          <w:color w:val="000000"/>
          <w:sz w:val="22"/>
        </w:rPr>
        <w:t xml:space="preserve">(17A,22,99G,252J) </w:t>
      </w:r>
      <w:r>
        <w:rPr>
          <w:rFonts w:ascii="Times New Roman" w:hAnsi="Times New Roman"/>
          <w:b/>
          <w:i w:val="false"/>
          <w:color w:val="000000"/>
          <w:sz w:val="22"/>
        </w:rPr>
        <w:t xml:space="preserve">Public records and fair information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val="false"/>
          <w:color w:val="000000"/>
          <w:sz w:val="22"/>
        </w:rPr>
        <w:t xml:space="preserve">In general, the business records of the lottery shall be public to the extent described in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However, under Iowa Code Supplement section </w:t>
      </w:r>
      <w:hyperlink r:id="rId5">
        <w:r>
          <w:rPr>
            <w:rStyle w:val="Hyperlink"/>
            <w:rFonts w:ascii="Times New Roman" w:hAnsi="Times New Roman"/>
            <w:b w:val="false"/>
            <w:i w:val="false"/>
            <w:color w:val="000000"/>
            <w:sz w:val="22"/>
          </w:rPr>
          <w:t>99G.34</w:t>
        </w:r>
      </w:hyperlink>
      <w:r>
        <w:rPr>
          <w:rFonts w:ascii="Times New Roman" w:hAnsi="Times New Roman"/>
          <w:b w:val="false"/>
          <w:i w:val="false"/>
          <w:color w:val="000000"/>
          <w:sz w:val="22"/>
        </w:rPr>
        <w:t>, the following records shall be kept confidential, unless otherwise ordered by a court, by the lawful custodian of the records, or by another person duly authorized to release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Marketing plans, research data, and proprietary intellectual property owned or held by the lottery under contractual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vendor, and player social security or tax identification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Computer system hardware, software, functional and system specifications, and game play data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Security records pertaining to investigations and intelligence-sharing information between lottery security officers and those of other lotteries and law enforcement agencies, the security portions or segments of lottery requests for proposals, proposals by vendors to conduct lottery operations, and records of the security division of the lottery pertaining to game security data, ticket validation tests, and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Player name and address lists, provided that the names and addresses of prize winners shall not be withheld.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Operational security measures, systems, or procedures and building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Security reports and other information concerning bids or other contractual data, the disclosure of which would impair the efforts of the lottery to contract for goods or services on favorable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Information that is otherwise confidential obtained pursuant to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documents, and information in the possession of the lottery received pursuant to an intelligence-sharing, reciprocal use, or restricted use agreement entered into by the lottery with a federal department or agency, any law enforcement agency, or the lottery regulation or gaming enforcement agency of any jurisdiction shall be considered investigative records of a law enforcement agency not subject to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shall not be released under any condition without the permission of the person or agency providing the record or information. Additionally, the results of background investigations conducted pursuant to Iowa Code Supplement section </w:t>
      </w:r>
      <w:hyperlink r:id="rId7">
        <w:r>
          <w:rPr>
            <w:rStyle w:val="Hyperlink"/>
            <w:rFonts w:ascii="Times New Roman" w:hAnsi="Times New Roman"/>
            <w:b w:val="false"/>
            <w:i w:val="false"/>
            <w:color w:val="000000"/>
            <w:sz w:val="22"/>
          </w:rPr>
          <w:t>99G.10(8)</w:t>
        </w:r>
      </w:hyperlink>
      <w:r>
        <w:rPr>
          <w:rFonts w:ascii="Times New Roman" w:hAnsi="Times New Roman"/>
          <w:b w:val="false"/>
          <w:i w:val="false"/>
          <w:color w:val="000000"/>
          <w:sz w:val="22"/>
        </w:rPr>
        <w:t xml:space="preserve"> shall not be considered public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val="false"/>
          <w:color w:val="000000"/>
          <w:sz w:val="22"/>
        </w:rPr>
        <w:t>The lottery shall maintain and make available for public inspection at its offices during regular business hours a detailed listing of the estimated number of prizes of each particular denomination that are expected to be awarded in any game that is on sale or the estimated odds of winning the prizes and, after the end of the claim period, shall maintain and make available a listing of the total number of tickets or shares sold in a game and the number of prizes of each denomination that were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statutory confidentiality provision, the lottery may share information with the child support recovery unit through manual or automated means for the sole purpose of identifying licensees or applicants subject to enforcement under Iowa Code chapter </w:t>
      </w:r>
      <w:hyperlink r:id="rId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598.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val="false"/>
          <w:color w:val="000000"/>
          <w:sz w:val="22"/>
        </w:rPr>
        <w:t>Copies of public lottery business records may be obtained upon a written request made to the Iowa Lottery Authority, 13001 University Avenue, Clive, Iowa 50325-8225. The lottery may charge reasonable fees, including staff research and copying time, for the processing of any public records production requests.</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xml:space="preserve">, Iowa Code Supplement sections </w:t>
      </w:r>
      <w:hyperlink r:id="rId11">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99G.10(8)</w:t>
        </w:r>
      </w:hyperlink>
      <w:r>
        <w:rPr>
          <w:rFonts w:ascii="Times New Roman" w:hAnsi="Times New Roman"/>
          <w:b w:val="false"/>
          <w:i w:val="false"/>
          <w:color w:val="000000"/>
          <w:sz w:val="22"/>
        </w:rPr>
        <w:t xml:space="preserve"> and Iowa Code chapter </w:t>
      </w:r>
      <w:hyperlink r:id="rId13">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 TargetMode="External" Target="https://www.legis.iowa.gov/docs/ico/chapter/99G.34.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99G.10.pdf" Type="http://schemas.openxmlformats.org/officeDocument/2006/relationships/hyperlink" Id="rId7"/>
    <Relationship TargetMode="External" Target="https://www.legis.iowa.gov/docs/ico/chapter/252J.pdf" Type="http://schemas.openxmlformats.org/officeDocument/2006/relationships/hyperlink" Id="rId8"/>
    <Relationship TargetMode="External" Target="https://www.legis.iowa.gov/docs/ico/chapter/22.11.pdf" Type="http://schemas.openxmlformats.org/officeDocument/2006/relationships/hyperlink" Id="rId9"/>
    <Relationship TargetMode="External" Target="https://www.legis.iowa.gov/docs/ico/chapter/252J.2.pdf" Type="http://schemas.openxmlformats.org/officeDocument/2006/relationships/hyperlink" Id="rId10"/>
    <Relationship TargetMode="External" Target="https://www.legis.iowa.gov/docs/ico/chapter/99G.9.pdf" Type="http://schemas.openxmlformats.org/officeDocument/2006/relationships/hyperlink" Id="rId11"/>
    <Relationship TargetMode="External" Target="https://www.legis.iowa.gov/docs/ico/chapter/99G.10.pdf" Type="http://schemas.openxmlformats.org/officeDocument/2006/relationships/hyperlink" Id="rId12"/>
    <Relationship TargetMode="External" Target="https://www.legis.iowa.gov/docs/ico/chapter/598.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