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531—1.14</w:t>
      </w:r>
      <w:r>
        <w:rPr>
          <w:rFonts w:ascii="Times New Roman" w:hAnsi="Times New Roman"/>
          <w:b/>
          <w:i w:val="false"/>
          <w:color w:val="000000"/>
          <w:sz w:val="22"/>
        </w:rPr>
        <w:t xml:space="preserve">(99G) </w:t>
      </w:r>
      <w:r>
        <w:rPr>
          <w:rFonts w:ascii="Times New Roman" w:hAnsi="Times New Roman"/>
          <w:b/>
          <w:i w:val="false"/>
          <w:color w:val="000000"/>
          <w:sz w:val="22"/>
        </w:rPr>
        <w:t xml:space="preserve">Agreements for the sale of advertising. </w:t>
      </w:r>
      <w:r>
        <w:rPr>
          <w:rFonts w:ascii="Times New Roman" w:hAnsi="Times New Roman"/>
          <w:b w:val="false"/>
          <w:i w:val="false"/>
          <w:color w:val="000000"/>
          <w:sz w:val="22"/>
        </w:rPr>
        <w:t>The lottery may enter into agreements with other units of state government or with individuals, corporations, or other entities outside of state government for the purpose of selling advertising space on such items as lottery tickets or equipment and in lottery publications or promotional materials. The lottery may also enter into such agreements to sell lottery tickets or merchandise marked with the lottery logo.</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99G.2</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2.pdf" Type="http://schemas.openxmlformats.org/officeDocument/2006/relationships/hyperlink" Id="rId4"/>
    <Relationship TargetMode="External" Target="https://www.legis.iowa.gov/docs/ico/chapter/99G.7.pdf" Type="http://schemas.openxmlformats.org/officeDocument/2006/relationships/hyperlink" Id="rId5"/>
    <Relationship TargetMode="External" Target="https://www.legis.iowa.gov/docs/ico/chapter/99G.9.pdf" Type="http://schemas.openxmlformats.org/officeDocument/2006/relationships/hyperlink" Id="rId6"/>
    <Relationship TargetMode="External" Target="https://www.legis.iowa.gov/docs/ico/chapter/99G.21.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