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491—14.7</w:t>
      </w:r>
      <w:r>
        <w:rPr>
          <w:rFonts w:ascii="Times New Roman" w:hAnsi="Times New Roman"/>
          <w:b/>
          <w:i w:val="false"/>
          <w:color w:val="000000"/>
          <w:sz w:val="22"/>
        </w:rPr>
        <w:t xml:space="preserve">(99E) </w:t>
      </w:r>
      <w:r>
        <w:rPr>
          <w:rFonts w:ascii="Times New Roman" w:hAnsi="Times New Roman"/>
          <w:b/>
          <w:i w:val="false"/>
          <w:color w:val="000000"/>
          <w:sz w:val="22"/>
        </w:rPr>
        <w:t xml:space="preserve">Account registration. </w:t>
      </w:r>
      <w:r>
        <w:rPr>
          <w:rFonts w:ascii="Times New Roman" w:hAnsi="Times New Roman"/>
          <w:b w:val="false"/>
          <w:i w:val="false"/>
          <w:color w:val="000000"/>
          <w:sz w:val="22"/>
        </w:rPr>
        <w:t>A person must have an established account in order to participate in fantasy sports contests. To establish an account, an application for an account shall be authorized in a manner approved by the administrator and shall include the applicant’s full legal name, principal residential address, date of birth and any other information required by the commission. The account registration process shall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14.7(1)</w:t>
      </w:r>
      <w:r>
        <w:rPr>
          <w:rFonts w:ascii="Times New Roman" w:hAnsi="Times New Roman"/>
          <w:b w:val="false"/>
          <w:i w:val="false"/>
          <w:color w:val="000000"/>
          <w:sz w:val="22"/>
        </w:rPr>
        <w:t> </w:t>
      </w:r>
      <w:r>
        <w:rPr>
          <w:rFonts w:ascii="Times New Roman" w:hAnsi="Times New Roman"/>
          <w:b w:val="false"/>
          <w:i w:val="false"/>
          <w:color w:val="000000"/>
          <w:sz w:val="22"/>
        </w:rPr>
        <w:t>Age verification to prevent persons under the legal age from participating in fantasy sports contests and establishing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14.7(2)</w:t>
      </w:r>
      <w:r>
        <w:rPr>
          <w:rFonts w:ascii="Times New Roman" w:hAnsi="Times New Roman"/>
          <w:b w:val="false"/>
          <w:i w:val="false"/>
          <w:color w:val="000000"/>
          <w:sz w:val="22"/>
        </w:rPr>
        <w:t> </w:t>
      </w:r>
      <w:r>
        <w:rPr>
          <w:rFonts w:ascii="Times New Roman" w:hAnsi="Times New Roman"/>
          <w:b w:val="false"/>
          <w:i w:val="false"/>
          <w:color w:val="000000"/>
          <w:sz w:val="22"/>
        </w:rPr>
        <w:t>Customer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customer verification process shall include an exact match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birth, including month, date and year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last four digits of the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customer verification process shall permit a flexible match by allowing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name may include nicknames and abbreviations.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may include abbreviations.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customer verification process shall authenticate identification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Answering knowledge-based questions based on the applicant’s public or private data;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Verifying that device ID and phone number match the applicant’s publicly known data;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Comparing a valid government-issued ID to a photo of the applicant taken at the time of account registration;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Another method as approved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14.7(3)</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that the customer is not on the statewide self-exclusion list set forth in Iowa Code section </w:t>
      </w:r>
      <w:hyperlink r:id="rId4">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prior to establishing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14.7(4)</w:t>
      </w:r>
      <w:r>
        <w:rPr>
          <w:rFonts w:ascii="Times New Roman" w:hAnsi="Times New Roman"/>
          <w:b w:val="false"/>
          <w:i w:val="false"/>
          <w:color w:val="000000"/>
          <w:sz w:val="22"/>
        </w:rPr>
        <w:t> </w:t>
      </w:r>
      <w:r>
        <w:rPr>
          <w:rFonts w:ascii="Times New Roman" w:hAnsi="Times New Roman"/>
          <w:b w:val="false"/>
          <w:i w:val="false"/>
          <w:color w:val="000000"/>
          <w:sz w:val="22"/>
        </w:rPr>
        <w:t>Availability and acceptance of a set of terms and conditions that are also readily accessible to the customer before and after registration and noticed when updated. Notices shall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Explanation of rules in which any unrecoverable malfunctions of hardware/software are addressed including, but not limited to, if the unrecoverable malfunction, fantasy sports event cancellation, or any other catastrophic malfunction results in the voiding of any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to deal with interruptions caused by the suspension of data flow from the network server during a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Specifications advising customers to keep their account credentials secure.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Statement that no underage individuals are permitted to participate in contests.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14.7(5)</w:t>
      </w:r>
      <w:r>
        <w:rPr>
          <w:rFonts w:ascii="Times New Roman" w:hAnsi="Times New Roman"/>
          <w:b w:val="false"/>
          <w:i w:val="false"/>
          <w:color w:val="000000"/>
          <w:sz w:val="22"/>
        </w:rPr>
        <w:t> </w:t>
      </w:r>
      <w:r>
        <w:rPr>
          <w:rFonts w:ascii="Times New Roman" w:hAnsi="Times New Roman"/>
          <w:b w:val="false"/>
          <w:i w:val="false"/>
          <w:color w:val="000000"/>
          <w:sz w:val="22"/>
        </w:rPr>
        <w:t>Availability and acceptance of a privacy policy that is also readily accessible to the customer before and after registration and noticed when updated that includes,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Statement of information that is collected, the purpose for information collection and the conditions under which information may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Statement that any information obtained in respect to customer registration or account establishment must be done in compliance with the privacy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Requirement that any information about customer accounts which is not subject to disclosure pursuant to the privacy policy must be kept confidential, except where the release of that information is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Requirement that all customer information must be securely erased from hard disks, magnetic tapes, solid state memory and other devices before the device is properly disposed of by the licensee. If erasure is not possible, the storage device must be destroyed.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F.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