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491—14.4</w:t>
      </w:r>
      <w:r>
        <w:rPr>
          <w:rFonts w:ascii="Times New Roman" w:hAnsi="Times New Roman"/>
          <w:b/>
          <w:i w:val="false"/>
          <w:color w:val="000000"/>
          <w:sz w:val="22"/>
        </w:rPr>
        <w:t xml:space="preserve">(99E) </w:t>
      </w:r>
      <w:r>
        <w:rPr>
          <w:rFonts w:ascii="Times New Roman" w:hAnsi="Times New Roman"/>
          <w:b/>
          <w:i w:val="false"/>
          <w:color w:val="000000"/>
          <w:sz w:val="22"/>
        </w:rPr>
        <w:t xml:space="preserve">Withdrawal of application. </w:t>
      </w:r>
      <w:r>
        <w:rPr>
          <w:rFonts w:ascii="Times New Roman" w:hAnsi="Times New Roman"/>
          <w:b w:val="false"/>
          <w:i w:val="false"/>
          <w:color w:val="000000"/>
          <w:sz w:val="22"/>
        </w:rPr>
        <w:t xml:space="preserve">A written notice of withdrawal of application may be filed by an applicant at any time prior to final action. No application shall be permitted to be withdrawn unless the administrator determines the withdrawal to be in the public interest. No fee or other payment relating to any application shall become refundable by reason of withdrawal of the application.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