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491—14.14</w:t>
      </w:r>
      <w:r>
        <w:rPr>
          <w:rFonts w:ascii="Times New Roman" w:hAnsi="Times New Roman"/>
          <w:b/>
          <w:i w:val="false"/>
          <w:color w:val="000000"/>
          <w:sz w:val="22"/>
        </w:rPr>
        <w:t xml:space="preserve">(99E) </w:t>
      </w:r>
      <w:r>
        <w:rPr>
          <w:rFonts w:ascii="Times New Roman" w:hAnsi="Times New Roman"/>
          <w:b/>
          <w:i w:val="false"/>
          <w:color w:val="000000"/>
          <w:sz w:val="22"/>
        </w:rPr>
        <w:t xml:space="preserve">Licensing of internet fantasy sports contest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The internet fantasy sports contest service provider shall submit the following for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Internal controls for the operation of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and certification of systems and procedures used by the internet fantasy sports contest service provider to validate the identity, age and location of licensee account holders and to validate the legality of wagers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of secure retention of all records related to internet fantasy sports contests and accounts for a period of not less than three years or such longer period as specified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of prompt commission access to all records relating to account holder identity, age and location in hard-copy or standard electronic format acceptable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player is not on the statewide voluntary self-exclusion list set forth in Iowa Code section </w:t>
      </w:r>
      <w:hyperlink r:id="rId4">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prior to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 storage required. Internet fantasy sports contest service providers shall maintain adequate records of business operations, which shall be made available to the administrator upon request.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correspondence with the administrator and other governmental agencies on the local, state, and federal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between the licensee and any of its customers who are applicants or licensees under Iowa Code chapter </w:t>
      </w:r>
      <w:hyperlink r:id="rId5">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Financial records of all transactions with players and all other licensees under these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retention. The records listed in </w:t>
      </w:r>
      <w:hyperlink r:id="rId6">
        <w:r>
          <w:rPr>
            <w:rStyle w:val="Hyperlink"/>
            <w:rFonts w:ascii="Times New Roman" w:hAnsi="Times New Roman"/>
            <w:b w:val="false"/>
            <w:i w:val="false"/>
            <w:color w:val="000000"/>
            <w:sz w:val="22"/>
          </w:rPr>
          <w:t>paragraph 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retained as required by </w:t>
      </w:r>
      <w:hyperlink r:id="rId7">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color w:val="000000"/>
          <w:sz w:val="22"/>
        </w:rPr>
        <w:t xml:space="preserve">Violation of laws or regulations. </w:t>
      </w:r>
      <w:r>
        <w:rPr>
          <w:rFonts w:ascii="Times New Roman" w:hAnsi="Times New Roman"/>
          <w:b w:val="false"/>
          <w:i w:val="false"/>
          <w:color w:val="000000"/>
          <w:sz w:val="22"/>
        </w:rPr>
        <w:t xml:space="preserve">Violation of any provision of any laws of the state or of the United States of America or of any rules of the commission may constitute an unsuitable method of operation, subjecting the licensee to limiting, conditioning, restricting, revoking or suspending the license, or fining the licensee, or any combination of the above. The commission has the discretion to suspend fantasy sports contest operations of its licensees by written order if necessary.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F.4.pdf" Type="http://schemas.openxmlformats.org/officeDocument/2006/relationships/hyperlink" Id="rId4"/>
    <Relationship TargetMode="External" Target="https://www.legis.iowa.gov/docs/ico/chapter/99E.pdf" Type="http://schemas.openxmlformats.org/officeDocument/2006/relationships/hyperlink" Id="rId5"/>
    <Relationship TargetMode="External" Target="https://www.legis.iowa.gov/docs/iac/rule/491.14.14.pdf" Type="http://schemas.openxmlformats.org/officeDocument/2006/relationships/hyperlink" Id="rId6"/>
    <Relationship TargetMode="External" Target="https://www.legis.iowa.gov/docs/iac/rule/491.5.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