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491—14.13</w:t>
      </w:r>
      <w:r>
        <w:rPr>
          <w:rFonts w:ascii="Times New Roman" w:hAnsi="Times New Roman"/>
          <w:b/>
          <w:i w:val="false"/>
          <w:color w:val="000000"/>
          <w:sz w:val="22"/>
        </w:rPr>
        <w:t xml:space="preserve">(99E) </w:t>
      </w:r>
      <w:r>
        <w:rPr>
          <w:rFonts w:ascii="Times New Roman" w:hAnsi="Times New Roman"/>
          <w:b/>
          <w:i w:val="false"/>
          <w:color w:val="000000"/>
          <w:sz w:val="22"/>
        </w:rPr>
        <w:t xml:space="preserve">Problem gambling.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14.13(1)</w:t>
      </w:r>
      <w:r>
        <w:rPr>
          <w:rFonts w:ascii="Times New Roman" w:hAnsi="Times New Roman"/>
          <w:b w:val="false"/>
          <w:i w:val="false"/>
          <w:color w:val="000000"/>
          <w:sz w:val="22"/>
        </w:rPr>
        <w:t> </w:t>
      </w:r>
      <w:r>
        <w:rPr>
          <w:rFonts w:ascii="Times New Roman" w:hAnsi="Times New Roman"/>
          <w:b w:val="false"/>
          <w:i w:val="false"/>
          <w:color w:val="000000"/>
          <w:sz w:val="22"/>
        </w:rPr>
        <w:t>The licensee shall adopt and implement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designed to identify compulsive 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Policies and procedures designed to comply with the process established by the commission pursuant to Iowa Code section </w:t>
      </w:r>
      <w:hyperlink r:id="rId4">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designed to cooperate with the Iowa gambling treatment program in creating and establishing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designed to make information available to customers concerning assistance for compulsive play in Iowa, including websites or toll-free numbers directing customers to reputable resources containing further information, which shall be free of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process for players to easily impose limitations or notifications for deposits and monetary participation in a contest. Limitations must be applied automatically, take effect immediately, and be implemented as indicated by the player. No changes can be made reducing the severity of the self-imposed limitations for at least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process for players to easily self-exclude for a specified period of time and indefinitely. Self-exclusions must be applied automatically, take effect immediately, and be implemented as indicated by the player. No changes can be made to reduce the severity of the self-exclusion limitations for at least 24 hours. In the event of indefinite self-exclusion, the licensee must ensure that the player is paid in full for the player’s account balance within a reasonable time provided that the licensee acknowledges that the funds have cleared. Players must be easily and obviously directed via a link to exclude themselves pursuant to Iowa Code section </w:t>
      </w:r>
      <w:hyperlink r:id="rId5">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xml:space="preserve">. This control does not supersede the requirements set forth in Iowa Code section </w:t>
      </w:r>
      <w:hyperlink r:id="rId6">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process to review and deactivate accounts of newly enrolled participants of the statewide self-exclusion program set forth in Iowa Code section </w:t>
      </w:r>
      <w:hyperlink r:id="rId7">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The licensee must ensure that the player is paid in full for the player’s account balance provided that the licensee acknowledges that the funds have cleared.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also include on the internet site or mobile application the statewide telephone number of the Iowa department of health and human services to provide problem gambling information and extensive responsible gaming features in addition to those described in Iowa Code section </w:t>
      </w:r>
      <w:hyperlink r:id="rId8">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14.13(3)</w:t>
      </w:r>
      <w:r>
        <w:rPr>
          <w:rFonts w:ascii="Times New Roman" w:hAnsi="Times New Roman"/>
          <w:b w:val="false"/>
          <w:i w:val="false"/>
          <w:color w:val="000000"/>
          <w:sz w:val="22"/>
        </w:rPr>
        <w:t> </w:t>
      </w:r>
      <w:r>
        <w:rPr>
          <w:rFonts w:ascii="Times New Roman" w:hAnsi="Times New Roman"/>
          <w:b w:val="false"/>
          <w:i w:val="false"/>
          <w:color w:val="000000"/>
          <w:sz w:val="22"/>
        </w:rPr>
        <w:t xml:space="preserve">Money forfeited by a voluntarily excluded person pursuant to Iowa Code section </w:t>
      </w:r>
      <w:hyperlink r:id="rId9">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xml:space="preserve"> shall be withheld by the licensee and remitted to the general fund of the state by the licensee.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F.4.pdf" Type="http://schemas.openxmlformats.org/officeDocument/2006/relationships/hyperlink" Id="rId4"/>
    <Relationship TargetMode="External" Target="https://www.legis.iowa.gov/docs/ico/chapter/99F.4.pdf" Type="http://schemas.openxmlformats.org/officeDocument/2006/relationships/hyperlink" Id="rId5"/>
    <Relationship TargetMode="External" Target="https://www.legis.iowa.gov/docs/ico/chapter/99F.4.pdf" Type="http://schemas.openxmlformats.org/officeDocument/2006/relationships/hyperlink" Id="rId6"/>
    <Relationship TargetMode="External" Target="https://www.legis.iowa.gov/docs/ico/chapter/99F.4.pdf" Type="http://schemas.openxmlformats.org/officeDocument/2006/relationships/hyperlink" Id="rId7"/>
    <Relationship TargetMode="External" Target="https://www.legis.iowa.gov/docs/ico/chapter/99F.4.pdf" Type="http://schemas.openxmlformats.org/officeDocument/2006/relationships/hyperlink" Id="rId8"/>
    <Relationship TargetMode="External" Target="https://www.legis.iowa.gov/docs/ico/chapter/99F.4.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