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491—14.11</w:t>
      </w:r>
      <w:r>
        <w:rPr>
          <w:rFonts w:ascii="Times New Roman" w:hAnsi="Times New Roman"/>
          <w:b/>
          <w:i w:val="false"/>
          <w:color w:val="000000"/>
          <w:sz w:val="22"/>
        </w:rPr>
        <w:t xml:space="preserve">(99E) </w:t>
      </w:r>
      <w:r>
        <w:rPr>
          <w:rFonts w:ascii="Times New Roman" w:hAnsi="Times New Roman"/>
          <w:b/>
          <w:i w:val="false"/>
          <w:color w:val="000000"/>
          <w:sz w:val="22"/>
        </w:rPr>
        <w:t xml:space="preserve">Annual audit. </w:t>
      </w:r>
      <w:r>
        <w:rPr>
          <w:rFonts w:ascii="Times New Roman" w:hAnsi="Times New Roman"/>
          <w:b w:val="false"/>
          <w:i w:val="false"/>
          <w:color w:val="000000"/>
          <w:sz w:val="22"/>
        </w:rPr>
        <w:t>An audit of the fantasy sports contest operations for the licensee or parent company of the licensee shall be conducted by certified public accountants authorized to practice in the state of Iowa and provided to the commission within 180 days of the licensee’s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fantasy sports contest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licensee’s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14.11(4)</w:t>
      </w:r>
      <w:r>
        <w:rPr>
          <w:rFonts w:ascii="Times New Roman" w:hAnsi="Times New Roman"/>
          <w:b w:val="false"/>
          <w:i w:val="false"/>
          <w:color w:val="000000"/>
          <w:sz w:val="22"/>
        </w:rPr>
        <w:t> </w:t>
      </w:r>
      <w:r>
        <w:rPr>
          <w:rFonts w:ascii="Times New Roman" w:hAnsi="Times New Roman"/>
          <w:b w:val="false"/>
          <w:i w:val="false"/>
          <w:color w:val="000000"/>
          <w:sz w:val="22"/>
        </w:rPr>
        <w:t xml:space="preserve">Availability, upon request, of an engagement letter for the audit between the licensee or parent company of the licensee and the auditing firm.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