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491—14.10</w:t>
      </w:r>
      <w:r>
        <w:rPr>
          <w:rFonts w:ascii="Times New Roman" w:hAnsi="Times New Roman"/>
          <w:b/>
          <w:i w:val="false"/>
          <w:color w:val="000000"/>
          <w:sz w:val="22"/>
        </w:rPr>
        <w:t xml:space="preserve">(99E) </w:t>
      </w:r>
      <w:r>
        <w:rPr>
          <w:rFonts w:ascii="Times New Roman" w:hAnsi="Times New Roman"/>
          <w:b/>
          <w:i w:val="false"/>
          <w:color w:val="000000"/>
          <w:sz w:val="22"/>
        </w:rPr>
        <w:t xml:space="preserve">Segregation account requirements and financial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Segregation. </w:t>
      </w:r>
      <w:r>
        <w:rPr>
          <w:rFonts w:ascii="Times New Roman" w:hAnsi="Times New Roman"/>
          <w:b w:val="false"/>
          <w:i w:val="false"/>
          <w:color w:val="000000"/>
          <w:sz w:val="22"/>
        </w:rPr>
        <w:t>Fantasy sports contest service providers shall segregate all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Financial reserves. </w:t>
      </w:r>
      <w:r>
        <w:rPr>
          <w:rFonts w:ascii="Times New Roman" w:hAnsi="Times New Roman"/>
          <w:b w:val="false"/>
          <w:i w:val="false"/>
          <w:color w:val="000000"/>
          <w:sz w:val="22"/>
        </w:rPr>
        <w:t>For the protection of the funds of contest participants held in paid fantasy sports accounts, the fantasy sports contest service provider shall maintain a reserve in the form of cash, cash equivalents, an irrevocable letter of credit, payment processor reserves and receivables, a bond, or a combination thereof in the amount of the deposits in internet fantasy sports contest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and approved by the commission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reserve shall be equal to, at a minimum, the sum of all registered players’ funds held in player accounts originating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licensee shall continuously monitor and maintain a record of all player deposits and the licensee’s cash reserves to ensure compliance with the cash reserves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the commission with documentation including the amount of deposits in players’ accounts and the amount in cash reserves as of the last day of each month. The information is due by the fifteenth day of the month for the preceding month.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