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491—13.6</w:t>
      </w:r>
      <w:r>
        <w:rPr>
          <w:rFonts w:ascii="Times New Roman" w:hAnsi="Times New Roman"/>
          <w:b/>
          <w:i w:val="false"/>
          <w:color w:val="000000"/>
          <w:sz w:val="22"/>
        </w:rPr>
        <w:t xml:space="preserve">(99F) </w:t>
      </w:r>
      <w:r>
        <w:rPr>
          <w:rFonts w:ascii="Times New Roman" w:hAnsi="Times New Roman"/>
          <w:b/>
          <w:i w:val="false"/>
          <w:color w:val="000000"/>
          <w:sz w:val="22"/>
        </w:rPr>
        <w:t xml:space="preserve">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color w:val="000000"/>
          <w:sz w:val="22"/>
        </w:rPr>
        <w:t xml:space="preserve">Initial testing. </w:t>
      </w:r>
      <w:r>
        <w:rPr>
          <w:rFonts w:ascii="Times New Roman" w:hAnsi="Times New Roman"/>
          <w:b w:val="false"/>
          <w:i w:val="false"/>
          <w:color w:val="000000"/>
          <w:sz w:val="22"/>
        </w:rPr>
        <w:t>All equipment and systems integral to the conduct of sports wagering and advance deposit sports wagering shall be tested and certified for compliance with commission rules and the standards required by a commission-designated independent testing laboratory. Certification and commission approval must be received prior to the use of any equipment or system to conduct sports wagering. The commission may designate more than one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color w:val="000000"/>
          <w:sz w:val="22"/>
        </w:rPr>
        <w:t xml:space="preserve">Change control. </w:t>
      </w:r>
      <w:r>
        <w:rPr>
          <w:rFonts w:ascii="Times New Roman" w:hAnsi="Times New Roman"/>
          <w:b w:val="false"/>
          <w:i w:val="false"/>
          <w:color w:val="000000"/>
          <w:sz w:val="22"/>
        </w:rPr>
        <w:t>The licensees and advance deposit sports wagering operators shall submit change control processes that detail evaluation procedures for all updates and changes to equipment and systems to the administrator for approval at least 30 days prior to operation. These processes shall include, at a minimum, descriptions of the following areas of licensee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Process to classify all changes according to organizational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Process to designate whether changes must be submitted to an independent testing laboratory for review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 for emergency change determination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Process to log or note changes. Must include the details logged for each change, including but not limited to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and time of change or proposed date and time of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Basic description of changes to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classification of change or changes, determined in accordance with the process established by </w:t>
      </w:r>
      <w:hyperlink r:id="rId4">
        <w:r>
          <w:rPr>
            <w:rStyle w:val="Hyperlink"/>
            <w:rFonts w:ascii="Times New Roman" w:hAnsi="Times New Roman"/>
            <w:b w:val="false"/>
            <w:i w:val="false"/>
            <w:color w:val="000000"/>
            <w:sz w:val="22"/>
          </w:rPr>
          <w:t>paragraph 13.6(2)</w:t>
        </w:r>
        <w:r>
          <w:rPr>
            <w:rFonts w:ascii="Times New Roman" w:hAnsi="Times New Roman"/>
            <w:b w:val="false"/>
            <w:i/>
            <w:color w:val="000000"/>
            <w:sz w:val="22"/>
          </w:rPr>
          <w:t>“a.”</w:t>
        </w:r>
      </w:hyperlink>
      <w:r>
        <w:rPr>
          <w:rFonts w:ascii="Times New Roman" w:hAnsi="Times New Roman"/>
          <w:b w:val="false"/>
          <w:i w:val="false"/>
          <w:color w:val="000000"/>
          <w:sz w:val="22"/>
        </w:rPr>
        <w:t xml:space="preserve"> If emergency designation is separate from other change classifications, this shall also be included in the log or note.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whether a change was submitted to an independent testing laboratory, and the certification report number of any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Process to maintain logs or notify the commission of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color w:val="000000"/>
          <w:sz w:val="22"/>
        </w:rPr>
        <w:t xml:space="preserve">Annual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system integrity and security risk assessment shall be performed annually on the advance deposit sports wagering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testing organization must be independent of the licensee and shall be qualified by the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integrity and security risk assessment shall be completed no later than March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from the risk assessment shall be submitted to the administrator no later than 60 days after the assessment is completed. Results shall include a remediation plan to address any risks identified during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risk assessment shall be conducted in accordance with current and accepted industry standard review requirements for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risk assessment shall include a review of licensee controls. Review of controls shall include but not be limited to a comparison of licensee controls to industry standard and best practice controls, and an audit of the licensee processes for compliance with those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geolocation system and integrity test shall be performed annually on the advance deposit wagering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testing organization must be independent of the licensee and the licensed geolocation vendor and shall be qualified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geolocation test shall be completed and the results submitted no later than March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Geolocation testing shall review existing licensee procedures for detecting and reporting fraudulent activity associated with any account activity detected by the geolocation system, and shall recommend updates to those procedures to align with any current or updated industry standard or commission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administrator, additional assessments or specific testing criteria may be required.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91.13.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