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491—13.5</w:t>
      </w:r>
      <w:r>
        <w:rPr>
          <w:rFonts w:ascii="Times New Roman" w:hAnsi="Times New Roman"/>
          <w:b/>
          <w:i w:val="false"/>
          <w:color w:val="000000"/>
          <w:sz w:val="22"/>
        </w:rPr>
        <w:t xml:space="preserve">(99F) </w:t>
      </w:r>
      <w:r>
        <w:rPr>
          <w:rFonts w:ascii="Times New Roman" w:hAnsi="Times New Roman"/>
          <w:b/>
          <w:i w:val="false"/>
          <w:color w:val="000000"/>
          <w:sz w:val="22"/>
        </w:rPr>
        <w:t xml:space="preserve">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advance deposit sports wagering. </w:t>
      </w:r>
      <w:r>
        <w:rPr>
          <w:rFonts w:ascii="Times New Roman" w:hAnsi="Times New Roman"/>
          <w:b w:val="false"/>
          <w:i w:val="false"/>
          <w:color w:val="000000"/>
          <w:sz w:val="22"/>
        </w:rPr>
        <w:t xml:space="preserve">A licensee or advance deposit sports wagering operator shall receive specific authorization from the commission to conduct advance deposit sports wagering prior to conducting advance deposit sports wagering. The granting of an advance deposit sports wagering license or approval of any agreements between a licensee and an advance deposit sports wagering operator to conduct advance deposit sports wagering does not constitute authorization. Any entity authorized to conduct advance deposit sports wagering is expected to comply with all requirements of this chapter, except for rule </w:t>
      </w:r>
      <w:hyperlink r:id="rId4">
        <w:r>
          <w:rPr>
            <w:rStyle w:val="Hyperlink"/>
            <w:rFonts w:ascii="Times New Roman" w:hAnsi="Times New Roman"/>
            <w:b w:val="false"/>
            <w:i w:val="false"/>
            <w:color w:val="000000"/>
            <w:sz w:val="22"/>
          </w:rPr>
          <w:t>491—13.4</w:t>
        </w:r>
      </w:hyperlink>
      <w:r>
        <w:rPr>
          <w:rFonts w:ascii="Times New Roman" w:hAnsi="Times New Roman"/>
          <w:b w:val="false"/>
          <w:i w:val="false"/>
          <w:color w:val="000000"/>
          <w:sz w:val="22"/>
        </w:rPr>
        <w:t>(99F), and all other applicable federal, state, local, and commission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Account registration. </w:t>
      </w:r>
      <w:r>
        <w:rPr>
          <w:rFonts w:ascii="Times New Roman" w:hAnsi="Times New Roman"/>
          <w:b w:val="false"/>
          <w:i w:val="false"/>
          <w:color w:val="000000"/>
          <w:sz w:val="22"/>
        </w:rPr>
        <w:t>A person must have an established account in order to place advance deposit sports wagers. The process for establishing an account is subject to the administrator’s approval. An account may be established through on-site registration under procedures previously approved by the administrator, or through remote registration. To establish an account, an application for an account shall be signed or otherwise authorized in a manner approved by the administrator and shall include the applicant’s full legal name, principal residential address, date of birth, last four digits of the social security number, and any other information required by the administrator.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for sports wagering from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includes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month, date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permits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name may include nicknames and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Authentication of identification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Answering knowledge-based questions based on the applicant’s public or private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device ID and phone number match the applicant’s publicly known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Comparing of valid government-issued ID to applicant’s picture taken at time of account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applicant is not on the statewide self-exclusion list set forth in Iowa Code section </w:t>
      </w:r>
      <w:hyperlink r:id="rId5">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is also readily accessible to the player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Explanation of rules in which any unrecoverable malfunctions of hardware/software are addressed including, but not limited to, if the unrecoverable malfunction, wagering event cancellation, or other catastrophic malfunction results in the voiding of any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deal with interruptions caused by the suspension of data flow from the network server during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Specifications advising players to keep their account credentials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Statement that no underage individuals are permitted to participate in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Explanation of conditions under which an account is declared inactive and actions undertaken on the account once this declaration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player before and after registration and noticed when updated and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information that is collected, the purpose for information collection, and the conditions under which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 that any information obtained in respect to player registration or account establishment must be done in compliance with the privacy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 that any information about player accounts which is not subject to disclosure pursuant to the privacy policy must be kept confidential, except where the release of that information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that all player information must be securely erased from hard disks, magnetic tapes, solid state memory, and other devices before the device is properly disposed of by the licensee. If erasure is not possible, the storage device must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an advance deposit sports wagering operator has an agreement with more than one licensee, the advance deposit sports wagering operator shall submit an agreement to the administrator that indicates the manner in which customer net receipts shall be assigned with its licensee partners. The agreement shall include all partnering licensees and their respective qualified sponsoring organizations, and the net receipts shall be allocated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available an option for new remotely registered customers to select the licensee at which net receipts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Allocate new remotely registered customer net receipts to the licensee which is located nearest to the customer’s principal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Distribute all customer receipts evenly between all licensees for which an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alternative allocation agreement that complies with local, state and federal law.</w:t>
      </w:r>
    </w:p>
    <w:p>
      <w:pPr>
        <w:spacing w:before="0" w:after="0"/>
        <w:ind w:left="120"/>
        <w:jc w:val="both"/>
      </w:pPr>
      <w:r>
        <w:rPr>
          <w:rFonts w:ascii="Times New Roman" w:hAnsi="Times New Roman"/>
          <w:b w:val="false"/>
          <w:i w:val="false"/>
          <w:color w:val="000000"/>
          <w:sz w:val="22"/>
        </w:rPr>
        <w:t>The agreement shall be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account. </w:t>
      </w:r>
      <w:r>
        <w:rPr>
          <w:rFonts w:ascii="Times New Roman" w:hAnsi="Times New Roman"/>
          <w:b w:val="false"/>
          <w:i w:val="false"/>
          <w:color w:val="000000"/>
          <w:sz w:val="22"/>
        </w:rPr>
        <w:t>The advance deposit sports wagering operator or a licensee shall submit controls, approved by the commission, that include the following for operating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procedures and technology partners to fulfill the requirements set forth in </w:t>
      </w:r>
      <w:hyperlink r:id="rId6">
        <w:r>
          <w:rPr>
            <w:rStyle w:val="Hyperlink"/>
            <w:rFonts w:ascii="Times New Roman" w:hAnsi="Times New Roman"/>
            <w:b w:val="false"/>
            <w:i w:val="false"/>
            <w:color w:val="000000"/>
            <w:sz w:val="22"/>
          </w:rPr>
          <w:t>subrule 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detection procedures to reasonably detect and dynamically monitor the location of a player attempting to place any wager or perform other account activities as identified by the advance deposit sports wagering operator or licensee, related to an Iowa authorized account. Account activity-based location detection controls shall be informed by industry best practices and any commission guidelines for the detection of fraud of other unauthorized or illegal activity. The advance deposit sports wagering operator or licensee shall utilize and monitor geolocation activity to detect potential fraudulent and suspicious activity, which shall be reported in accordance with paragraph </w:t>
      </w:r>
      <w:hyperlink r:id="rId7">
        <w:r>
          <w:rPr>
            <w:rStyle w:val="Hyperlink"/>
            <w:rFonts w:ascii="Times New Roman" w:hAnsi="Times New Roman"/>
            <w:b w:val="false"/>
            <w:i w:val="false"/>
            <w:color w:val="000000"/>
            <w:sz w:val="22"/>
          </w:rPr>
          <w:t>13.2(7)</w:t>
        </w:r>
      </w:hyperlink>
      <w:r>
        <w:rPr>
          <w:rFonts w:ascii="Times New Roman" w:hAnsi="Times New Roman"/>
          <w:b w:val="false"/>
          <w:i/>
          <w:color w:val="000000"/>
          <w:sz w:val="22"/>
        </w:rPr>
        <w:t>“d.”</w:t>
      </w:r>
      <w:r>
        <w:rPr>
          <w:rFonts w:ascii="Times New Roman" w:hAnsi="Times New Roman"/>
          <w:b w:val="false"/>
          <w:i w:val="false"/>
          <w:color w:val="000000"/>
          <w:sz w:val="22"/>
        </w:rPr>
        <w:t xml:space="preserve"> A player outside the permitted boundary attempting to make a wager shall be rejected, and the player shall be notified. The confidence radius shall be entirely located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controls set forth in </w:t>
      </w:r>
      <w:hyperlink r:id="rId8">
        <w:r>
          <w:rPr>
            <w:rStyle w:val="Hyperlink"/>
            <w:rFonts w:ascii="Times New Roman" w:hAnsi="Times New Roman"/>
            <w:b w:val="false"/>
            <w:i w:val="false"/>
            <w:color w:val="000000"/>
            <w:sz w:val="22"/>
          </w:rPr>
          <w:t>subrule 13.2(7)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one active account, per individually branded website, at a time unless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to the player when changes are made to any account used for financial transactions or to registration information or when financial transactions are made unless other notification preferences are established by the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Process to immediately notify a player following an unusual login attempt. In the event that the unusual login attempt constitutes suspicious activity or if other suspicious activity is detected, an account shall be locked. A multifactor authentication process must be employed for the account to be unlocked.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Process for players to easily impose limitations or notifications for wagering parameters including, but not limited to, deposits and wagers. Self-imposed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for players to easily self-exclude from wagering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advance deposit sports wagering operator or licensee must ensure that the player is paid in full for the player’s account balance within a reasonable time provided that the advance deposit sports wagering operator or licensee acknowledges that the funds have cleared. Players must be easily and obviously directed via a link to exclude themselves pursuant to Iowa Code section </w:t>
      </w:r>
      <w:hyperlink r:id="rId9">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10">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review and deactivate accounts of newly enrolled participants of the statewide self-exclusion program set forth in Iowa Code section </w:t>
      </w:r>
      <w:hyperlink r:id="rId11">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operator must ensure that players are paid in full for their account balance within a reasonable time provided that the operator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 for an easy and obvious method for a player to make a complaint and to enable the player to notify the commission if such complaint has not been or cannot be addressed by the advance deposit sports wagering operator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Account funds. </w:t>
      </w:r>
      <w:r>
        <w:rPr>
          <w:rFonts w:ascii="Times New Roman" w:hAnsi="Times New Roman"/>
          <w:b w:val="false"/>
          <w:i w:val="false"/>
          <w:color w:val="000000"/>
          <w:sz w:val="22"/>
        </w:rPr>
        <w:t>The following requirements apply to the maintenance of funds associated with a player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player identification, including any personal identification number (PIN) entry or other approved secure methods, must be completed before the withdrawal of any moneys held by the advance deposit sports wagering operator or licensee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from an account are to be paid directly to an account with a financial institution in the name of the player or made payable to the player and forwarded to the player’s address or through another method that is not prohibited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must have in place security or authorization procedures to ensure that only authorized adjustments can be made to player accounts and that changes are auditable.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not be possible to transfer funds between two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transaction log or account statement history at no cost to players upon request. Information provided shall include sufficient information to allow players to reconcile the statement or log against their own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Requests for withdrawals shall not be unreasonably withheld and shall be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fee-free method for players to deposit or withdraw funds from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 of reserve utilized to comply with </w:t>
      </w:r>
      <w:hyperlink r:id="rId12">
        <w:r>
          <w:rPr>
            <w:rStyle w:val="Hyperlink"/>
            <w:rFonts w:ascii="Times New Roman" w:hAnsi="Times New Roman"/>
            <w:b w:val="false"/>
            <w:i w:val="false"/>
            <w:color w:val="000000"/>
            <w:sz w:val="22"/>
          </w:rPr>
          <w:t>subrule 13.2(6)</w:t>
        </w:r>
      </w:hyperlink>
      <w:r>
        <w:rPr>
          <w:rFonts w:ascii="Times New Roman" w:hAnsi="Times New Roman"/>
          <w:b w:val="false"/>
          <w:i w:val="false"/>
          <w:color w:val="000000"/>
          <w:sz w:val="22"/>
        </w:rPr>
        <w:t xml:space="preserve"> is not in the form of cash or cash equivalents segregated from operational funds, an advance deposit sports wagering operator or licensee shall segregate player account funds from operational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An audit of the advance deposit sports wagering operations for the advance deposit sports wagering operator or licensee or parent company of the advance deposit sports wagering operator or licensee shall be conducted by certified public accountants authorized to practice in the state of Iowa and provided to the commission within 90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advance deposit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advance deposit sports wagering operator’s or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advance deposit sports wagering operator or licensee or parent company of the advance deposit sports wagering operator or licensee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supplemental schedule for Iowa operations. A supplemental schedule shall include a breakdown of advance deposit sports wagering activities by each Iowa casino in which there is an agreement. The supplemental schedule provided to satisfy this requirement may be unaudited; however, the top financial officer of the company shall provide a statement attesting to the accuracy of the information provided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An advance deposit sports wagering operator shall display a player’s wagers in a readily accessible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color w:val="000000"/>
          <w:sz w:val="22"/>
        </w:rPr>
        <w:t xml:space="preserve">Expiration or termination of an Iowa Code section </w:t>
      </w:r>
      <w:hyperlink r:id="rId13">
        <w:r>
          <w:rPr>
            <w:rStyle w:val="Hyperlink"/>
            <w:rFonts w:ascii="Times New Roman" w:hAnsi="Times New Roman"/>
            <w:b w:val="false"/>
            <w:i/>
            <w:color w:val="000000"/>
            <w:sz w:val="22"/>
          </w:rPr>
          <w:t>99F.7A</w:t>
        </w:r>
      </w:hyperlink>
      <w:r>
        <w:rPr>
          <w:rFonts w:ascii="Times New Roman" w:hAnsi="Times New Roman"/>
          <w:b w:val="false"/>
          <w:i/>
          <w:color w:val="000000"/>
          <w:sz w:val="22"/>
        </w:rPr>
        <w:t xml:space="preserve"> operating agreement. </w:t>
      </w:r>
      <w:r>
        <w:rPr>
          <w:rFonts w:ascii="Times New Roman" w:hAnsi="Times New Roman"/>
          <w:b w:val="false"/>
          <w:i w:val="false"/>
          <w:color w:val="000000"/>
          <w:sz w:val="22"/>
        </w:rPr>
        <w:t xml:space="preserve">In the event an advance deposit sports wagering operating agreement between a licensee under Iowa Code section </w:t>
      </w:r>
      <w:hyperlink r:id="rId14">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and another entity expires, terminates, or is no longer valid, notice of termination must be given to the commission and all customers affiliated with the licensee. A customer shall be given an opportunity to close an account. If the advance deposit sports wagering operator has an operating agreement with other licensees in the state of Iowa, the customer shall have the option to select another partner licensee to which their net receipts shall be assigned, or the customer’s net receipts shall be assigned to any remaining partner licensees in accordance with an agreement submitted to the administrator pursuant to paragraph </w:t>
      </w:r>
      <w:hyperlink r:id="rId15">
        <w:r>
          <w:rPr>
            <w:rStyle w:val="Hyperlink"/>
            <w:rFonts w:ascii="Times New Roman" w:hAnsi="Times New Roman"/>
            <w:b w:val="false"/>
            <w:i w:val="false"/>
            <w:color w:val="000000"/>
            <w:sz w:val="22"/>
          </w:rPr>
          <w:t>13.5(2)</w:t>
        </w:r>
      </w:hyperlink>
      <w:r>
        <w:rPr>
          <w:rFonts w:ascii="Times New Roman" w:hAnsi="Times New Roman"/>
          <w:b w:val="false"/>
          <w:i/>
          <w:color w:val="000000"/>
          <w:sz w:val="22"/>
        </w:rPr>
        <w:t>“h.”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13.4.pdf" Type="http://schemas.openxmlformats.org/officeDocument/2006/relationships/hyperlink" Id="rId4"/>
    <Relationship TargetMode="External" Target="https://www.legis.iowa.gov/docs/ico/chapter/99F.4.pdf" Type="http://schemas.openxmlformats.org/officeDocument/2006/relationships/hyperlink" Id="rId5"/>
    <Relationship TargetMode="External" Target="https://www.legis.iowa.gov/docs/iac/rule/491.13.5.pdf" Type="http://schemas.openxmlformats.org/officeDocument/2006/relationships/hyperlink" Id="rId6"/>
    <Relationship TargetMode="External" Target="https://www.legis.iowa.gov/docs/iac/rule/491.13.2.pdf" Type="http://schemas.openxmlformats.org/officeDocument/2006/relationships/hyperlink" Id="rId7"/>
    <Relationship TargetMode="External" Target="https://www.legis.iowa.gov/docs/iac/rule/491.13.2.pdf" Type="http://schemas.openxmlformats.org/officeDocument/2006/relationships/hyperlink" Id="rId8"/>
    <Relationship TargetMode="External" Target="https://www.legis.iowa.gov/docs/ico/chapter/99F.4.pdf" Type="http://schemas.openxmlformats.org/officeDocument/2006/relationships/hyperlink" Id="rId9"/>
    <Relationship TargetMode="External" Target="https://www.legis.iowa.gov/docs/ico/chapter/99F.4.pdf" Type="http://schemas.openxmlformats.org/officeDocument/2006/relationships/hyperlink" Id="rId10"/>
    <Relationship TargetMode="External" Target="https://www.legis.iowa.gov/docs/ico/chapter/99F.4.pdf" Type="http://schemas.openxmlformats.org/officeDocument/2006/relationships/hyperlink" Id="rId11"/>
    <Relationship TargetMode="External" Target="https://www.legis.iowa.gov/docs/iac/rule/491.13.2.pdf" Type="http://schemas.openxmlformats.org/officeDocument/2006/relationships/hyperlink" Id="rId12"/>
    <Relationship TargetMode="External" Target="https://www.legis.iowa.gov/docs/ico/chapter/99F.7A.pdf" Type="http://schemas.openxmlformats.org/officeDocument/2006/relationships/hyperlink" Id="rId13"/>
    <Relationship TargetMode="External" Target="https://www.legis.iowa.gov/docs/ico/chapter/99F.7A.pdf" Type="http://schemas.openxmlformats.org/officeDocument/2006/relationships/hyperlink" Id="rId14"/>
    <Relationship TargetMode="External" Target="https://www.legis.iowa.gov/docs/iac/rule/491.13.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