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491—13.3</w:t>
      </w:r>
      <w:r>
        <w:rPr>
          <w:rFonts w:ascii="Times New Roman" w:hAnsi="Times New Roman"/>
          <w:b/>
          <w:i w:val="false"/>
          <w:color w:val="000000"/>
          <w:sz w:val="22"/>
        </w:rPr>
        <w:t xml:space="preserve">(99F) </w:t>
      </w:r>
      <w:r>
        <w:rPr>
          <w:rFonts w:ascii="Times New Roman" w:hAnsi="Times New Roman"/>
          <w:b/>
          <w:i w:val="false"/>
          <w:color w:val="000000"/>
          <w:sz w:val="22"/>
        </w:rPr>
        <w:t xml:space="preserve">Approval of sports wagers.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Prior to offering a sports wager, a facility or advance deposit sports wagering operator shall request that the administrator investigate and approve the sports wager for compliance with commission rules and any other standards as required by the commission. The administrator may require the facility or advance deposit sports wagering operator, at the facility’s or operator’s own expense, to provide additional information as deemed necessary to make a determination. Prior to approval, the administrator may require a trial period of any sports wager offering. Once a sports wager is approved by the administrator, unless it is subsequently disapproved for any reason deemed appropriate by the administrator, the sports wager is available for all operators under the conditions approved and subject to </w:t>
      </w:r>
      <w:hyperlink r:id="rId4">
        <w:r>
          <w:rPr>
            <w:rStyle w:val="Hyperlink"/>
            <w:rFonts w:ascii="Times New Roman" w:hAnsi="Times New Roman"/>
            <w:b w:val="false"/>
            <w:i w:val="false"/>
            <w:color w:val="000000"/>
            <w:sz w:val="22"/>
          </w:rPr>
          <w:t>subrule 13.3(2)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color w:val="000000"/>
          <w:sz w:val="22"/>
        </w:rPr>
        <w:t xml:space="preserve">Sports wager submissions. </w:t>
      </w:r>
      <w:r>
        <w:rPr>
          <w:rFonts w:ascii="Times New Roman" w:hAnsi="Times New Roman"/>
          <w:b w:val="false"/>
          <w:i w:val="false"/>
          <w:color w:val="000000"/>
          <w:sz w:val="22"/>
        </w:rPr>
        <w:t xml:space="preserve">Prior to conducting a sports wager approved pursuant to </w:t>
      </w:r>
      <w:hyperlink r:id="rId5">
        <w:r>
          <w:rPr>
            <w:rStyle w:val="Hyperlink"/>
            <w:rFonts w:ascii="Times New Roman" w:hAnsi="Times New Roman"/>
            <w:b w:val="false"/>
            <w:i w:val="false"/>
            <w:color w:val="000000"/>
            <w:sz w:val="22"/>
          </w:rPr>
          <w:t>subrule 13.3(1)</w:t>
        </w:r>
      </w:hyperlink>
      <w:r>
        <w:rPr>
          <w:rFonts w:ascii="Times New Roman" w:hAnsi="Times New Roman"/>
          <w:b w:val="false"/>
          <w:i w:val="false"/>
          <w:color w:val="000000"/>
          <w:sz w:val="22"/>
        </w:rPr>
        <w:t>, a licensee or advance deposit sports wagering operator shall submit proposals for the wager, including but not limited to wagering rules, payout information, source of the information used to determine the outcome of the sports wager, and any restrictive features of the wager. The sports wager submission, or requests for modification to an approved wager, shall be submitted in writing and approved by the administrator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color w:val="000000"/>
          <w:sz w:val="22"/>
        </w:rPr>
        <w:t xml:space="preserve">Sports promotional contests, tournaments, or promotional activities. </w:t>
      </w:r>
      <w:r>
        <w:rPr>
          <w:rFonts w:ascii="Times New Roman" w:hAnsi="Times New Roman"/>
          <w:b w:val="false"/>
          <w:i w:val="false"/>
          <w:color w:val="000000"/>
          <w:sz w:val="22"/>
        </w:rPr>
        <w:t>Sports promotional contests, tournaments, or promotional activities may be permitted by the licensee, vendor, or advance deposit sports wagering operator providing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Rules shall be made available to participants for review prior to registering. Rules shall include, at a minimum: all conditions registered players must meet to qualify to enter or advance through the event, available prizes or awards, fees, and distribution of prizes or awards based on specific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Rules are followed. Changes to rules shall not be made after participants have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Results shall be made available for the registered players to review at the same location at which or in the same manner in which players registered. Results shall include, at a minimum: name of the event, date of the event, total number of entries, amount of entry fees, total prize pool, and amount paid for each winning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Fees collected, less cash prizes paid, are subject to the wagering taxes pursuant to Iowa Code section </w:t>
      </w:r>
      <w:hyperlink r:id="rId6">
        <w:r>
          <w:rPr>
            <w:rStyle w:val="Hyperlink"/>
            <w:rFonts w:ascii="Times New Roman" w:hAnsi="Times New Roman"/>
            <w:b w:val="false"/>
            <w:i w:val="false"/>
            <w:color w:val="000000"/>
            <w:sz w:val="22"/>
          </w:rPr>
          <w:t>99F.11(4)</w:t>
        </w:r>
      </w:hyperlink>
      <w:r>
        <w:rPr>
          <w:rFonts w:ascii="Times New Roman" w:hAnsi="Times New Roman"/>
          <w:b w:val="false"/>
          <w:i w:val="false"/>
          <w:color w:val="000000"/>
          <w:sz w:val="22"/>
        </w:rPr>
        <w:t>. In determining sports wagering net receipts, to the extent that cash prizes paid out exceed fees collected, the licensee or advance deposit sports wagering operator shall be deemed to have paid the fees for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Rules include terms and conditions. All emails or digital advertisements promoting contests, tournaments, and promotional activities shall include a link or other easily obtainable source that includes rules or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is compliance with all other federal, state, and local laws and rules outside of the commission’s jurisdiction.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91.13.3.pdf" Type="http://schemas.openxmlformats.org/officeDocument/2006/relationships/hyperlink" Id="rId4"/>
    <Relationship TargetMode="External" Target="https://www.legis.iowa.gov/docs/iac/rule/491.13.3.pdf" Type="http://schemas.openxmlformats.org/officeDocument/2006/relationships/hyperlink" Id="rId5"/>
    <Relationship TargetMode="External" Target="https://www.legis.iowa.gov/docs/ico/chapter/99F.1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