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441—99.92</w:t>
      </w:r>
      <w:r>
        <w:rPr>
          <w:rFonts w:ascii="Times New Roman" w:hAnsi="Times New Roman"/>
          <w:b/>
          <w:i w:val="false"/>
          <w:color w:val="000000"/>
          <w:sz w:val="22"/>
        </w:rPr>
        <w:t xml:space="preserve">(252H) </w:t>
      </w:r>
      <w:r>
        <w:rPr>
          <w:rFonts w:ascii="Times New Roman" w:hAnsi="Times New Roman"/>
          <w:b/>
          <w:i w:val="false"/>
          <w:color w:val="000000"/>
          <w:sz w:val="22"/>
        </w:rPr>
        <w:t xml:space="preserve">Withdrawing requests. </w:t>
      </w:r>
      <w:r>
        <w:rPr>
          <w:rFonts w:ascii="Times New Roman" w:hAnsi="Times New Roman"/>
          <w:b w:val="false"/>
          <w:i w:val="false"/>
          <w:color w:val="000000"/>
          <w:sz w:val="22"/>
        </w:rPr>
        <w:t>If the requesting party contacts the child support recovery unit to withdraw the request, the child support recovery unit shall notify the nonrequesting party of the requesting party’s desire to withdraw the modification request. If the nonrequesting party indicates, in writing, a desire to continue with the modification process, the child support recovery unit shall proceed, and if appropriate, modify the support order. If there is no response from the nonrequesting party or if the nonrequesting party also wants the process to end, the unit shall end the modification process. If the unit initiated the modification action, the unit may terminate the process if, after notifying both parents, neither parent indicates a desire to continue with the modification.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