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441—99.89</w:t>
      </w:r>
      <w:r>
        <w:rPr>
          <w:rFonts w:ascii="Times New Roman" w:hAnsi="Times New Roman"/>
          <w:b/>
          <w:i w:val="false"/>
          <w:color w:val="000000"/>
          <w:sz w:val="22"/>
        </w:rPr>
        <w:t xml:space="preserve">(252H) </w:t>
      </w:r>
      <w:r>
        <w:rPr>
          <w:rFonts w:ascii="Times New Roman" w:hAnsi="Times New Roman"/>
          <w:b/>
          <w:i w:val="false"/>
          <w:color w:val="000000"/>
          <w:sz w:val="22"/>
        </w:rPr>
        <w:t xml:space="preserve">Confidentiality of financial information. </w:t>
      </w:r>
      <w:r>
        <w:rPr>
          <w:rFonts w:ascii="Times New Roman" w:hAnsi="Times New Roman"/>
          <w:b w:val="false"/>
          <w:i w:val="false"/>
          <w:color w:val="000000"/>
          <w:sz w:val="22"/>
        </w:rPr>
        <w:t>Financial information provided to the child support recovery unit by either parent for the purpose of facilitating the modification process may be disclosed to the other parties to the case, or the district court,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99.89(1)</w:t>
      </w:r>
      <w:r>
        <w:rPr>
          <w:rFonts w:ascii="Times New Roman" w:hAnsi="Times New Roman"/>
          <w:b w:val="false"/>
          <w:i w:val="false"/>
          <w:color w:val="000000"/>
          <w:sz w:val="22"/>
        </w:rPr>
        <w:t> </w:t>
      </w:r>
      <w:r>
        <w:rPr>
          <w:rFonts w:ascii="Times New Roman" w:hAnsi="Times New Roman"/>
          <w:b w:val="false"/>
          <w:i/>
          <w:color w:val="000000"/>
          <w:sz w:val="22"/>
        </w:rPr>
        <w:t xml:space="preserve">Financial statements. </w:t>
      </w:r>
      <w:r>
        <w:rPr>
          <w:rFonts w:ascii="Times New Roman" w:hAnsi="Times New Roman"/>
          <w:b w:val="false"/>
          <w:i w:val="false"/>
          <w:color w:val="000000"/>
          <w:sz w:val="22"/>
        </w:rPr>
        <w:t>The financial statement or affidavit may be disclosed to either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99.89(2)</w:t>
      </w:r>
      <w:r>
        <w:rPr>
          <w:rFonts w:ascii="Times New Roman" w:hAnsi="Times New Roman"/>
          <w:b w:val="false"/>
          <w:i w:val="false"/>
          <w:color w:val="000000"/>
          <w:sz w:val="22"/>
        </w:rPr>
        <w:t> </w:t>
      </w:r>
      <w:r>
        <w:rPr>
          <w:rFonts w:ascii="Times New Roman" w:hAnsi="Times New Roman"/>
          <w:b w:val="false"/>
          <w:i/>
          <w:color w:val="000000"/>
          <w:sz w:val="22"/>
        </w:rPr>
        <w:t xml:space="preserve">Other documentation. </w:t>
      </w:r>
      <w:r>
        <w:rPr>
          <w:rFonts w:ascii="Times New Roman" w:hAnsi="Times New Roman"/>
          <w:b w:val="false"/>
          <w:i w:val="false"/>
          <w:color w:val="000000"/>
          <w:sz w:val="22"/>
        </w:rPr>
        <w:t>Supporting financial documentation such as state and federal income tax returns, paycheck stubs, IRS Form W-2, bank statements, and other written evidence of financial status may be disclosed to the court unless otherwise prohibited by state or federal law.</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