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441—99.86</w:t>
      </w:r>
      <w:r>
        <w:rPr>
          <w:rFonts w:ascii="Times New Roman" w:hAnsi="Times New Roman"/>
          <w:b/>
          <w:i w:val="false"/>
          <w:color w:val="000000"/>
          <w:sz w:val="22"/>
        </w:rPr>
        <w:t xml:space="preserve">(252H) </w:t>
      </w:r>
      <w:r>
        <w:rPr>
          <w:rFonts w:ascii="Times New Roman" w:hAnsi="Times New Roman"/>
          <w:b/>
          <w:i w:val="false"/>
          <w:color w:val="000000"/>
          <w:sz w:val="22"/>
        </w:rPr>
        <w:t xml:space="preserve">Challenges to the proposed modification action. </w:t>
      </w:r>
      <w:r>
        <w:rPr>
          <w:rFonts w:ascii="Times New Roman" w:hAnsi="Times New Roman"/>
          <w:b w:val="false"/>
          <w:i w:val="false"/>
          <w:color w:val="000000"/>
          <w:sz w:val="22"/>
        </w:rPr>
        <w:t xml:space="preserve">For modification actions based on subrules </w:t>
      </w:r>
      <w:hyperlink r:id="rId4">
        <w:r>
          <w:rPr>
            <w:rStyle w:val="Hyperlink"/>
            <w:rFonts w:ascii="Times New Roman" w:hAnsi="Times New Roman"/>
            <w:b w:val="false"/>
            <w:i w:val="false"/>
            <w:color w:val="000000"/>
            <w:sz w:val="22"/>
          </w:rPr>
          <w:t>99.83(1)</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99.83(5)</w:t>
        </w:r>
      </w:hyperlink>
      <w:r>
        <w:rPr>
          <w:rFonts w:ascii="Times New Roman" w:hAnsi="Times New Roman"/>
          <w:b w:val="false"/>
          <w:i w:val="false"/>
          <w:color w:val="000000"/>
          <w:sz w:val="22"/>
        </w:rPr>
        <w:t xml:space="preserve">, each parent shall have the right to request a conference to contest the proposed modification. Either parent, or the unit, may also request a court hearing. For requests made based on subrule </w:t>
      </w:r>
      <w:hyperlink r:id="rId6">
        <w:r>
          <w:rPr>
            <w:rStyle w:val="Hyperlink"/>
            <w:rFonts w:ascii="Times New Roman" w:hAnsi="Times New Roman"/>
            <w:b w:val="false"/>
            <w:i w:val="false"/>
            <w:color w:val="000000"/>
            <w:sz w:val="22"/>
          </w:rPr>
          <w:t>99.83(6)</w:t>
        </w:r>
      </w:hyperlink>
      <w:r>
        <w:rPr>
          <w:rFonts w:ascii="Times New Roman" w:hAnsi="Times New Roman"/>
          <w:b w:val="false"/>
          <w:i w:val="false"/>
          <w:color w:val="000000"/>
          <w:sz w:val="22"/>
        </w:rPr>
        <w:t>, either parent may contest the cost-of-living alteration by making a request for a review and adjustment of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99.86(1)</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 xml:space="preserve">Either parent may contest the proposed modification based on subrules </w:t>
      </w:r>
      <w:hyperlink r:id="rId7">
        <w:r>
          <w:rPr>
            <w:rStyle w:val="Hyperlink"/>
            <w:rFonts w:ascii="Times New Roman" w:hAnsi="Times New Roman"/>
            <w:b w:val="false"/>
            <w:i w:val="false"/>
            <w:color w:val="000000"/>
            <w:sz w:val="22"/>
          </w:rPr>
          <w:t>99.83(1)</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99.83(5)</w:t>
        </w:r>
      </w:hyperlink>
      <w:r>
        <w:rPr>
          <w:rFonts w:ascii="Times New Roman" w:hAnsi="Times New Roman"/>
          <w:b w:val="false"/>
          <w:i w:val="false"/>
          <w:color w:val="000000"/>
          <w:sz w:val="22"/>
        </w:rPr>
        <w:t xml:space="preserve"> by means of a conference with the office of the unit that issued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one conference shall be held per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within ten days of the date of service of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that issued the notice of intent to modify shall schedule a conference with the parent and advise the parent of the date, time, place, and procedural aspects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Reasons for contesting the modification include, but are not limited to, mistake of fact regarding the identity of one of the parties or the amount or terms of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party who requested the conference fails to attend the conference, only one alternative time shall be scheduled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 conference shall in no way affect the right of either party to request a court hearing pursuant to subrule </w:t>
      </w:r>
      <w:hyperlink r:id="rId9">
        <w:r>
          <w:rPr>
            <w:rStyle w:val="Hyperlink"/>
            <w:rFonts w:ascii="Times New Roman" w:hAnsi="Times New Roman"/>
            <w:b w:val="false"/>
            <w:i w:val="false"/>
            <w:color w:val="000000"/>
            <w:sz w:val="22"/>
          </w:rPr>
          <w:t>99.86(2)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conference, the unit shall issue a notice of decision to modify as described in subrule </w:t>
      </w:r>
      <w:hyperlink r:id="rId10">
        <w:r>
          <w:rPr>
            <w:rStyle w:val="Hyperlink"/>
            <w:rFonts w:ascii="Times New Roman" w:hAnsi="Times New Roman"/>
            <w:b w:val="false"/>
            <w:i w:val="false"/>
            <w:color w:val="000000"/>
            <w:sz w:val="22"/>
          </w:rPr>
          <w:t>99.84(2)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99.86(2)</w:t>
      </w:r>
      <w:r>
        <w:rPr>
          <w:rFonts w:ascii="Times New Roman" w:hAnsi="Times New Roman"/>
          <w:b w:val="false"/>
          <w:i w:val="false"/>
          <w:color w:val="000000"/>
          <w:sz w:val="22"/>
        </w:rPr>
        <w:t> </w:t>
      </w:r>
      <w:r>
        <w:rPr>
          <w:rFonts w:ascii="Times New Roman" w:hAnsi="Times New Roman"/>
          <w:b w:val="false"/>
          <w:i/>
          <w:color w:val="000000"/>
          <w:sz w:val="22"/>
        </w:rPr>
        <w:t xml:space="preserve">Court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parent, or the unit, may contest the proposed modification, based on subrules </w:t>
      </w:r>
      <w:hyperlink r:id="rId11">
        <w:r>
          <w:rPr>
            <w:rStyle w:val="Hyperlink"/>
            <w:rFonts w:ascii="Times New Roman" w:hAnsi="Times New Roman"/>
            <w:b w:val="false"/>
            <w:i w:val="false"/>
            <w:color w:val="000000"/>
            <w:sz w:val="22"/>
          </w:rPr>
          <w:t>99.83(1)</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99.83(5)</w:t>
        </w:r>
      </w:hyperlink>
      <w:r>
        <w:rPr>
          <w:rFonts w:ascii="Times New Roman" w:hAnsi="Times New Roman"/>
          <w:b w:val="false"/>
          <w:i w:val="false"/>
          <w:color w:val="000000"/>
          <w:sz w:val="22"/>
        </w:rPr>
        <w:t>, by requesting a court hearing within the latest of any of the following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Twenty days from the date of successful service of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scheduled for a conference,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issuance of a notice of decision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unit receives a timely written request, the unit shall certify the matter to the district court as described in Iowa Code section </w:t>
      </w:r>
      <w:hyperlink r:id="rId13">
        <w:r>
          <w:rPr>
            <w:rStyle w:val="Hyperlink"/>
            <w:rFonts w:ascii="Times New Roman" w:hAnsi="Times New Roman"/>
            <w:b w:val="false"/>
            <w:i w:val="false"/>
            <w:color w:val="000000"/>
            <w:sz w:val="22"/>
          </w:rPr>
          <w:t>252H.8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request is not received, if waiting periods have been waived, or if the notice periods have expired, the unit shall prepare an administrative order as provided in Iowa Code section </w:t>
      </w:r>
      <w:hyperlink r:id="rId14">
        <w:r>
          <w:rPr>
            <w:rStyle w:val="Hyperlink"/>
            <w:rFonts w:ascii="Times New Roman" w:hAnsi="Times New Roman"/>
            <w:b w:val="false"/>
            <w:i w:val="false"/>
            <w:color w:val="000000"/>
            <w:sz w:val="22"/>
          </w:rPr>
          <w:t>252H.9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99.86(3)</w:t>
      </w:r>
      <w:r>
        <w:rPr>
          <w:rFonts w:ascii="Times New Roman" w:hAnsi="Times New Roman"/>
          <w:b w:val="false"/>
          <w:i w:val="false"/>
          <w:color w:val="000000"/>
          <w:sz w:val="22"/>
        </w:rPr>
        <w:t> </w:t>
      </w:r>
      <w:r>
        <w:rPr>
          <w:rFonts w:ascii="Times New Roman" w:hAnsi="Times New Roman"/>
          <w:b w:val="false"/>
          <w:i/>
          <w:color w:val="000000"/>
          <w:sz w:val="22"/>
        </w:rPr>
        <w:t xml:space="preserve">Contesting a proposed cost-of-living alteration. </w:t>
      </w:r>
      <w:r>
        <w:rPr>
          <w:rFonts w:ascii="Times New Roman" w:hAnsi="Times New Roman"/>
          <w:b w:val="false"/>
          <w:i w:val="false"/>
          <w:color w:val="000000"/>
          <w:sz w:val="22"/>
        </w:rPr>
        <w:t xml:space="preserve">Either parent may contest a cost-of-living alteration within 30 days of the date of the notice of intent to modify by making a request for a review of the support order as provided in Iowa Code section </w:t>
      </w:r>
      <w:hyperlink r:id="rId15">
        <w:r>
          <w:rPr>
            <w:rStyle w:val="Hyperlink"/>
            <w:rFonts w:ascii="Times New Roman" w:hAnsi="Times New Roman"/>
            <w:b w:val="false"/>
            <w:i w:val="false"/>
            <w:color w:val="000000"/>
            <w:sz w:val="22"/>
          </w:rPr>
          <w:t>252H.13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unit receives a timely written request for review, the unit shall terminate the cost-of-living alteration process and proceed with the review and adjustment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request is not made, or the notice waiting period has been waived by both parties, or the notice period has expired, the unit shall prepare an administrative order as provided in Iowa Code section </w:t>
      </w:r>
      <w:hyperlink r:id="rId16">
        <w:r>
          <w:rPr>
            <w:rStyle w:val="Hyperlink"/>
            <w:rFonts w:ascii="Times New Roman" w:hAnsi="Times New Roman"/>
            <w:b w:val="false"/>
            <w:i w:val="false"/>
            <w:color w:val="000000"/>
            <w:sz w:val="22"/>
          </w:rPr>
          <w:t>252H.24</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9.83.pdf" Type="http://schemas.openxmlformats.org/officeDocument/2006/relationships/hyperlink" Id="rId4"/>
    <Relationship TargetMode="External" Target="https://www.legis.iowa.gov/docs/iac/rule/441.99.83.pdf" Type="http://schemas.openxmlformats.org/officeDocument/2006/relationships/hyperlink" Id="rId5"/>
    <Relationship TargetMode="External" Target="https://www.legis.iowa.gov/docs/iac/rule/441.99.83.pdf" Type="http://schemas.openxmlformats.org/officeDocument/2006/relationships/hyperlink" Id="rId6"/>
    <Relationship TargetMode="External" Target="https://www.legis.iowa.gov/docs/iac/rule/441.99.83.pdf" Type="http://schemas.openxmlformats.org/officeDocument/2006/relationships/hyperlink" Id="rId7"/>
    <Relationship TargetMode="External" Target="https://www.legis.iowa.gov/docs/iac/rule/441.99.83.pdf" Type="http://schemas.openxmlformats.org/officeDocument/2006/relationships/hyperlink" Id="rId8"/>
    <Relationship TargetMode="External" Target="https://www.legis.iowa.gov/docs/iac/rule/441.99.86.pdf" Type="http://schemas.openxmlformats.org/officeDocument/2006/relationships/hyperlink" Id="rId9"/>
    <Relationship TargetMode="External" Target="https://www.legis.iowa.gov/docs/iac/rule/441.99.84.pdf" Type="http://schemas.openxmlformats.org/officeDocument/2006/relationships/hyperlink" Id="rId10"/>
    <Relationship TargetMode="External" Target="https://www.legis.iowa.gov/docs/iac/rule/441.99.83.pdf" Type="http://schemas.openxmlformats.org/officeDocument/2006/relationships/hyperlink" Id="rId11"/>
    <Relationship TargetMode="External" Target="https://www.legis.iowa.gov/docs/iac/rule/441.99.83.pdf" Type="http://schemas.openxmlformats.org/officeDocument/2006/relationships/hyperlink" Id="rId12"/>
    <Relationship TargetMode="External" Target="https://www.legis.iowa.gov/docs/ico/chapter/252H.8.pdf" Type="http://schemas.openxmlformats.org/officeDocument/2006/relationships/hyperlink" Id="rId13"/>
    <Relationship TargetMode="External" Target="https://www.legis.iowa.gov/docs/ico/chapter/252H.9.pdf" Type="http://schemas.openxmlformats.org/officeDocument/2006/relationships/hyperlink" Id="rId14"/>
    <Relationship TargetMode="External" Target="https://www.legis.iowa.gov/docs/ico/chapter/252H.13.pdf" Type="http://schemas.openxmlformats.org/officeDocument/2006/relationships/hyperlink" Id="rId15"/>
    <Relationship TargetMode="External" Target="https://www.legis.iowa.gov/docs/ico/chapter/252H.24.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