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441—99.85</w:t>
      </w:r>
      <w:r>
        <w:rPr>
          <w:rFonts w:ascii="Times New Roman" w:hAnsi="Times New Roman"/>
          <w:b/>
          <w:i w:val="false"/>
          <w:color w:val="000000"/>
          <w:sz w:val="22"/>
        </w:rPr>
        <w:t xml:space="preserve">(252H) </w:t>
      </w:r>
      <w:r>
        <w:rPr>
          <w:rFonts w:ascii="Times New Roman" w:hAnsi="Times New Roman"/>
          <w:b/>
          <w:i w:val="false"/>
          <w:color w:val="000000"/>
          <w:sz w:val="22"/>
        </w:rPr>
        <w:t xml:space="preserve">Financial information. </w:t>
      </w:r>
      <w:r>
        <w:rPr>
          <w:rFonts w:ascii="Times New Roman" w:hAnsi="Times New Roman"/>
          <w:b w:val="false"/>
          <w:i w:val="false"/>
          <w:color w:val="000000"/>
          <w:sz w:val="22"/>
        </w:rPr>
        <w:t>The child support recovery unit may attempt to obtain and verify information concerning the financial circumstances of the parents subject to the order to be modified that is necessary to conduct an analysis and determine support. The unit does not require financial information if the request is for a cost-of-living alteration.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99.85(1)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Parents subject to the order shall provide a financial statement and verification of income within ten days of a written request by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modification action is based on a substantial change of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requesting party must provide Form 470-2749, Request to Modify a Child Support Order, and documentation that proves the amount of change in net income and the date the change took place, such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Copies of state and federal income tax returns, W-2 statements, or pay stubs,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signed statement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unit shall review the request and documentation. If appropriate, the unit shall issue to each parent a notice of intent to modify the order as stated in subrule </w:t>
      </w:r>
      <w:hyperlink r:id="rId4">
        <w:r>
          <w:rPr>
            <w:rStyle w:val="Hyperlink"/>
            <w:rFonts w:ascii="Times New Roman" w:hAnsi="Times New Roman"/>
            <w:b w:val="false"/>
            <w:i w:val="false"/>
            <w:color w:val="000000"/>
            <w:sz w:val="22"/>
          </w:rPr>
          <w:t>99.84(1)</w:t>
        </w:r>
      </w:hyperlink>
      <w:r>
        <w:rPr>
          <w:rFonts w:ascii="Times New Roman" w:hAnsi="Times New Roman"/>
          <w:b w:val="false"/>
          <w:i w:val="false"/>
          <w:color w:val="000000"/>
          <w:sz w:val="22"/>
        </w:rPr>
        <w:t xml:space="preserve"> and a financial statement. Each parent shall complete and sign the financial statement and return it to the unit with verification of income and deductions as described in subrule </w:t>
      </w:r>
      <w:hyperlink r:id="rId5">
        <w:r>
          <w:rPr>
            <w:rStyle w:val="Hyperlink"/>
            <w:rFonts w:ascii="Times New Roman" w:hAnsi="Times New Roman"/>
            <w:b w:val="false"/>
            <w:i w:val="false"/>
            <w:color w:val="000000"/>
            <w:sz w:val="22"/>
          </w:rPr>
          <w:t>99.1(3)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unit may require a completed and signed financial statement and verification of income from each parent as described in subrule </w:t>
      </w:r>
      <w:hyperlink r:id="rId6">
        <w:r>
          <w:rPr>
            <w:rStyle w:val="Hyperlink"/>
            <w:rFonts w:ascii="Times New Roman" w:hAnsi="Times New Roman"/>
            <w:b w:val="false"/>
            <w:i w:val="false"/>
            <w:color w:val="000000"/>
            <w:sz w:val="22"/>
          </w:rPr>
          <w:t>99.1(3)</w:t>
        </w:r>
      </w:hyperlink>
      <w:r>
        <w:rPr>
          <w:rFonts w:ascii="Times New Roman" w:hAnsi="Times New Roman"/>
          <w:b w:val="false"/>
          <w:i w:val="false"/>
          <w:color w:val="000000"/>
          <w:sz w:val="22"/>
        </w:rPr>
        <w:t xml:space="preserve"> if the modification is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Changing a reserved or zero-dollar-amount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Changing a medical-provisions-only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Making a correction (if financial information is needed);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by a minor obligor as defined in Iowa Code section </w:t>
      </w:r>
      <w:hyperlink r:id="rId7">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unit may also request that a parent requesting a modification provide an affidavit regarding the financial circumstances of the nonrequesting parent when the unit is otherwise unable to obtain financial information concerning the nonrequesting parent. The requesting parent shall complete the affidavit if the parent possesses sufficient information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unit may also use occupational wage rate information or the median income for parents on the unit caseload to determine the gross income of a parent when a parent has failed to return a completed financial statement when requested and complete and accurate information is not readily available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income will be determined as described in subrule </w:t>
      </w:r>
      <w:hyperlink r:id="rId9">
        <w:r>
          <w:rPr>
            <w:rStyle w:val="Hyperlink"/>
            <w:rFonts w:ascii="Times New Roman" w:hAnsi="Times New Roman"/>
            <w:b w:val="false"/>
            <w:i w:val="false"/>
            <w:color w:val="000000"/>
            <w:sz w:val="22"/>
          </w:rPr>
          <w:t>99.1(5)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99.85(2)</w:t>
      </w:r>
      <w:r>
        <w:rPr>
          <w:rFonts w:ascii="Times New Roman" w:hAnsi="Times New Roman"/>
          <w:b w:val="false"/>
          <w:i w:val="false"/>
          <w:color w:val="000000"/>
          <w:sz w:val="22"/>
        </w:rPr>
        <w:t> </w:t>
      </w:r>
      <w:r>
        <w:rPr>
          <w:rFonts w:ascii="Times New Roman" w:hAnsi="Times New Roman"/>
          <w:b w:val="false"/>
          <w:i/>
          <w:color w:val="000000"/>
          <w:sz w:val="22"/>
        </w:rPr>
        <w:t xml:space="preserve">Independent sources. </w:t>
      </w:r>
      <w:r>
        <w:rPr>
          <w:rFonts w:ascii="Times New Roman" w:hAnsi="Times New Roman"/>
          <w:b w:val="false"/>
          <w:i w:val="false"/>
          <w:color w:val="000000"/>
          <w:sz w:val="22"/>
        </w:rPr>
        <w:t xml:space="preserve">The child support recovery unit may use other resources to obtain or confirm information concerning the financial circumstances of the parents subject to the order to be modified as described in rule </w:t>
      </w:r>
      <w:hyperlink r:id="rId10">
        <w:r>
          <w:rPr>
            <w:rStyle w:val="Hyperlink"/>
            <w:rFonts w:ascii="Times New Roman" w:hAnsi="Times New Roman"/>
            <w:b w:val="false"/>
            <w:i w:val="false"/>
            <w:color w:val="000000"/>
            <w:sz w:val="22"/>
          </w:rPr>
          <w:t>441—99.1</w:t>
        </w:r>
      </w:hyperlink>
      <w:r>
        <w:rPr>
          <w:rFonts w:ascii="Times New Roman" w:hAnsi="Times New Roman"/>
          <w:b w:val="false"/>
          <w:i w:val="false"/>
          <w:color w:val="000000"/>
          <w:sz w:val="22"/>
        </w:rPr>
        <w:t>(234,252B).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99.85(3)</w:t>
      </w:r>
      <w:r>
        <w:rPr>
          <w:rFonts w:ascii="Times New Roman" w:hAnsi="Times New Roman"/>
          <w:b w:val="false"/>
          <w:i w:val="false"/>
          <w:color w:val="000000"/>
          <w:sz w:val="22"/>
        </w:rPr>
        <w:t> </w:t>
      </w:r>
      <w:r>
        <w:rPr>
          <w:rFonts w:ascii="Times New Roman" w:hAnsi="Times New Roman"/>
          <w:b w:val="false"/>
          <w:i/>
          <w:color w:val="000000"/>
          <w:sz w:val="22"/>
        </w:rPr>
        <w:t xml:space="preserve">Guidelines calculations. </w:t>
      </w:r>
      <w:r>
        <w:rPr>
          <w:rFonts w:ascii="Times New Roman" w:hAnsi="Times New Roman"/>
          <w:b w:val="false"/>
          <w:i w:val="false"/>
          <w:color w:val="000000"/>
          <w:sz w:val="22"/>
        </w:rPr>
        <w:t>The unit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amount of the child support obligation (excluding cost-of-living alteration amounts) as described in rules </w:t>
      </w:r>
      <w:hyperlink r:id="rId11">
        <w:r>
          <w:rPr>
            <w:rStyle w:val="Hyperlink"/>
            <w:rFonts w:ascii="Times New Roman" w:hAnsi="Times New Roman"/>
            <w:b w:val="false"/>
            <w:i w:val="false"/>
            <w:color w:val="000000"/>
            <w:sz w:val="22"/>
          </w:rPr>
          <w:t>441—99.1</w:t>
        </w:r>
      </w:hyperlink>
      <w:r>
        <w:rPr>
          <w:rFonts w:ascii="Times New Roman" w:hAnsi="Times New Roman"/>
          <w:b w:val="false"/>
          <w:i w:val="false"/>
          <w:color w:val="000000"/>
          <w:sz w:val="22"/>
        </w:rPr>
        <w:t xml:space="preserve">(234,252B) through </w:t>
      </w:r>
      <w:hyperlink r:id="rId12">
        <w:r>
          <w:rPr>
            <w:rStyle w:val="Hyperlink"/>
            <w:rFonts w:ascii="Times New Roman" w:hAnsi="Times New Roman"/>
            <w:b w:val="false"/>
            <w:i w:val="false"/>
            <w:color w:val="000000"/>
            <w:sz w:val="22"/>
          </w:rPr>
          <w:t>441—99.5</w:t>
        </w:r>
      </w:hyperlink>
      <w:r>
        <w:rPr>
          <w:rFonts w:ascii="Times New Roman" w:hAnsi="Times New Roman"/>
          <w:b w:val="false"/>
          <w:i w:val="false"/>
          <w:color w:val="000000"/>
          <w:sz w:val="22"/>
        </w:rPr>
        <w:t xml:space="preserve">(234,252B),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support provisions as described in Iowa Code chapter </w:t>
      </w:r>
      <w:hyperlink r:id="rId13">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and rules </w:t>
      </w:r>
      <w:hyperlink r:id="rId14">
        <w:r>
          <w:rPr>
            <w:rStyle w:val="Hyperlink"/>
            <w:rFonts w:ascii="Times New Roman" w:hAnsi="Times New Roman"/>
            <w:b w:val="false"/>
            <w:i w:val="false"/>
            <w:color w:val="000000"/>
            <w:sz w:val="22"/>
          </w:rPr>
          <w:t>441—98.1</w:t>
        </w:r>
      </w:hyperlink>
      <w:r>
        <w:rPr>
          <w:rFonts w:ascii="Times New Roman" w:hAnsi="Times New Roman"/>
          <w:b w:val="false"/>
          <w:i w:val="false"/>
          <w:color w:val="000000"/>
          <w:sz w:val="22"/>
        </w:rPr>
        <w:t xml:space="preserve">(252E) through </w:t>
      </w:r>
      <w:hyperlink r:id="rId15">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5892C</w:t>
      </w:r>
      <w:r>
        <w:rPr>
          <w:rFonts w:ascii="Times New Roman" w:hAnsi="Times New Roman"/>
          <w:b w:val="false"/>
          <w:i w:val="false"/>
          <w:color w:val="000000"/>
          <w:sz w:val="16"/>
        </w:rPr>
        <w:t>, IAB 9/8/21, effective 1/1/22</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9.84.pdf" Type="http://schemas.openxmlformats.org/officeDocument/2006/relationships/hyperlink" Id="rId4"/>
    <Relationship TargetMode="External" Target="https://www.legis.iowa.gov/docs/iac/rule/441.99.1.pdf" Type="http://schemas.openxmlformats.org/officeDocument/2006/relationships/hyperlink" Id="rId5"/>
    <Relationship TargetMode="External" Target="https://www.legis.iowa.gov/docs/iac/rule/441.99.1.pdf" Type="http://schemas.openxmlformats.org/officeDocument/2006/relationships/hyperlink" Id="rId6"/>
    <Relationship TargetMode="External" Target="https://www.legis.iowa.gov/docs/ico/chapter/598.21B.pdf" Type="http://schemas.openxmlformats.org/officeDocument/2006/relationships/hyperlink" Id="rId7"/>
    <Relationship TargetMode="External" Target="https://www.legis.iowa.gov/docs/ico/chapter/598.21G.pdf" Type="http://schemas.openxmlformats.org/officeDocument/2006/relationships/hyperlink" Id="rId8"/>
    <Relationship TargetMode="External" Target="https://www.legis.iowa.gov/docs/iac/rule/441.99.1.pdf" Type="http://schemas.openxmlformats.org/officeDocument/2006/relationships/hyperlink" Id="rId9"/>
    <Relationship TargetMode="External" Target="https://www.legis.iowa.gov/docs/iac/rule/441.99.1.pdf" Type="http://schemas.openxmlformats.org/officeDocument/2006/relationships/hyperlink" Id="rId10"/>
    <Relationship TargetMode="External" Target="https://www.legis.iowa.gov/docs/iac/rule/441.99.1.pdf" Type="http://schemas.openxmlformats.org/officeDocument/2006/relationships/hyperlink" Id="rId11"/>
    <Relationship TargetMode="External" Target="https://www.legis.iowa.gov/docs/iac/rule/441.99.5.pdf" Type="http://schemas.openxmlformats.org/officeDocument/2006/relationships/hyperlink" Id="rId12"/>
    <Relationship TargetMode="External" Target="https://www.legis.iowa.gov/docs/ico/chapter/252E.pdf" Type="http://schemas.openxmlformats.org/officeDocument/2006/relationships/hyperlink" Id="rId13"/>
    <Relationship TargetMode="External" Target="https://www.legis.iowa.gov/docs/iac/rule/441.98.1.pdf" Type="http://schemas.openxmlformats.org/officeDocument/2006/relationships/hyperlink" Id="rId14"/>
    <Relationship TargetMode="External" Target="https://www.legis.iowa.gov/docs/iac/rule/441.98.7.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