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441—99.83</w:t>
      </w:r>
      <w:r>
        <w:rPr>
          <w:rFonts w:ascii="Times New Roman" w:hAnsi="Times New Roman"/>
          <w:b/>
          <w:i w:val="false"/>
          <w:color w:val="000000"/>
          <w:sz w:val="22"/>
        </w:rPr>
        <w:t xml:space="preserve">(252H) </w:t>
      </w:r>
      <w:r>
        <w:rPr>
          <w:rFonts w:ascii="Times New Roman" w:hAnsi="Times New Roman"/>
          <w:b/>
          <w:i w:val="false"/>
          <w:color w:val="000000"/>
          <w:sz w:val="22"/>
        </w:rPr>
        <w:t xml:space="preserve">Modification of child support obligations. </w:t>
      </w:r>
      <w:r>
        <w:rPr>
          <w:rFonts w:ascii="Times New Roman" w:hAnsi="Times New Roman"/>
          <w:b w:val="false"/>
          <w:i w:val="false"/>
          <w:color w:val="000000"/>
          <w:sz w:val="22"/>
        </w:rPr>
        <w:t xml:space="preserve">Permanent child support obligations meeting the criteria set forth in rule </w:t>
      </w:r>
      <w:hyperlink r:id="rId4">
        <w:r>
          <w:rPr>
            <w:rStyle w:val="Hyperlink"/>
            <w:rFonts w:ascii="Times New Roman" w:hAnsi="Times New Roman"/>
            <w:b w:val="false"/>
            <w:i w:val="false"/>
            <w:color w:val="000000"/>
            <w:sz w:val="22"/>
          </w:rPr>
          <w:t>441—99.82</w:t>
        </w:r>
      </w:hyperlink>
      <w:r>
        <w:rPr>
          <w:rFonts w:ascii="Times New Roman" w:hAnsi="Times New Roman"/>
          <w:b w:val="false"/>
          <w:i w:val="false"/>
          <w:color w:val="000000"/>
          <w:sz w:val="22"/>
        </w:rPr>
        <w:t>(252H) may be modified at the initiative of the unit, or upon written request of either parent subject to the order submitted on Form 470-2749. Any action shall be limited to adjustment, modification, or alteration of the child support or medical provisions of the support order. The duration of the underlying order shall not be modified. The procedures used by the child support recovery unit to determine if a modification is appropriate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99.83(1)</w:t>
      </w: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 xml:space="preserve">Procedures to modify the support obligation may be initiated outside the minimum time frame described in subrule </w:t>
      </w:r>
      <w:hyperlink r:id="rId5">
        <w:r>
          <w:rPr>
            <w:rStyle w:val="Hyperlink"/>
            <w:rFonts w:ascii="Times New Roman" w:hAnsi="Times New Roman"/>
            <w:b w:val="false"/>
            <w:i w:val="false"/>
            <w:color w:val="000000"/>
            <w:sz w:val="22"/>
          </w:rPr>
          <w:t>99.62(2)</w:t>
        </w:r>
      </w:hyperlink>
      <w:r>
        <w:rPr>
          <w:rFonts w:ascii="Times New Roman" w:hAnsi="Times New Roman"/>
          <w:b w:val="false"/>
          <w:i w:val="false"/>
          <w:color w:val="000000"/>
          <w:sz w:val="22"/>
        </w:rPr>
        <w:t xml:space="preserve"> if a request is received from either parent and if the parent has submitted verified documentation of a substantial change in circumstances which indicates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of at least 50 percent in the net income of a parent as defined by guidelines. The new net income will be compared to the net income upon which the current child support obligation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 is due to financial circumstances which have existed for a minimum period of three months and can reasonably be expected to exist for an additional three months.</w:t>
      </w:r>
    </w:p>
    <w:p>
      <w:pPr>
        <w:spacing w:before="0" w:after="0"/>
        <w:ind w:left="120"/>
        <w:jc w:val="both"/>
      </w:pPr>
      <w:r>
        <w:rPr>
          <w:rFonts w:ascii="Times New Roman" w:hAnsi="Times New Roman"/>
          <w:b w:val="false"/>
          <w:i w:val="false"/>
          <w:color w:val="000000"/>
          <w:sz w:val="22"/>
        </w:rPr>
        <w:t xml:space="preserve">The unit shall review the request and documentation and, if appropriate, issue a notice of intent to modify as described in subrule </w:t>
      </w:r>
      <w:hyperlink r:id="rId6">
        <w:r>
          <w:rPr>
            <w:rStyle w:val="Hyperlink"/>
            <w:rFonts w:ascii="Times New Roman" w:hAnsi="Times New Roman"/>
            <w:b w:val="false"/>
            <w:i w:val="false"/>
            <w:color w:val="000000"/>
            <w:sz w:val="22"/>
          </w:rPr>
          <w:t>99.84(1)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99.83(2)</w:t>
      </w:r>
      <w:r>
        <w:rPr>
          <w:rFonts w:ascii="Times New Roman" w:hAnsi="Times New Roman"/>
          <w:b w:val="false"/>
          <w:i w:val="false"/>
          <w:color w:val="000000"/>
          <w:sz w:val="22"/>
        </w:rPr>
        <w:t> </w:t>
      </w:r>
      <w:r>
        <w:rPr>
          <w:rFonts w:ascii="Times New Roman" w:hAnsi="Times New Roman"/>
          <w:b w:val="false"/>
          <w:i/>
          <w:color w:val="000000"/>
          <w:sz w:val="22"/>
        </w:rPr>
        <w:t xml:space="preserve">Adding provisions for additional children.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requests, in writing, or the unit determines that it is appropriate to add an additional child to the support order and modify the obligation amount according to the guidelines pursuant to Iowa Code section </w:t>
      </w:r>
      <w:hyperlink r:id="rId7">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xml:space="preserve"> and Iowa Code section </w:t>
      </w:r>
      <w:hyperlink r:id="rId8">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Paternity has been legally established.</w:t>
      </w:r>
    </w:p>
    <w:p>
      <w:pPr>
        <w:spacing w:before="0" w:after="0"/>
        <w:ind w:left="120"/>
        <w:jc w:val="both"/>
      </w:pPr>
      <w:r>
        <w:rPr>
          <w:rFonts w:ascii="Times New Roman" w:hAnsi="Times New Roman"/>
          <w:b w:val="false"/>
          <w:i w:val="false"/>
          <w:color w:val="000000"/>
          <w:sz w:val="22"/>
        </w:rPr>
        <w:t>When adding a child to an order through administrative modification, medical support provisions shall apply to the additional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99.83(3)</w:t>
      </w:r>
      <w:r>
        <w:rPr>
          <w:rFonts w:ascii="Times New Roman" w:hAnsi="Times New Roman"/>
          <w:b w:val="false"/>
          <w:i w:val="false"/>
          <w:color w:val="000000"/>
          <w:sz w:val="22"/>
        </w:rPr>
        <w:t> </w:t>
      </w:r>
      <w:r>
        <w:rPr>
          <w:rFonts w:ascii="Times New Roman" w:hAnsi="Times New Roman"/>
          <w:b w:val="false"/>
          <w:i/>
          <w:color w:val="000000"/>
          <w:sz w:val="22"/>
        </w:rPr>
        <w:t xml:space="preserve">Reserved, zero-dollar-amount, or medical-provisions-only orders.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modification in writing or the unit determines that it is appropriate to include a support amount based on the guidelines;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original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 establishment of an ongoing, dollar-amount support obligation giving a specific reason other than lack of personal jurisdiction over the obligor,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the amount at zero,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for medical provisions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99.83(4)</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error or omission pertaining to child support or medical provisions was made during preparation or filing of a support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necessary party requests a modification or the unit determines that a modification to correct an error or omission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99.83(5)</w:t>
      </w:r>
      <w:r>
        <w:rPr>
          <w:rFonts w:ascii="Times New Roman" w:hAnsi="Times New Roman"/>
          <w:b w:val="false"/>
          <w:i w:val="false"/>
          <w:color w:val="000000"/>
          <w:sz w:val="22"/>
        </w:rPr>
        <w:t> </w:t>
      </w:r>
      <w:r>
        <w:rPr>
          <w:rFonts w:ascii="Times New Roman" w:hAnsi="Times New Roman"/>
          <w:b w:val="false"/>
          <w:i/>
          <w:color w:val="000000"/>
          <w:sz w:val="22"/>
        </w:rPr>
        <w:t xml:space="preserve">Noncompliance by minor obligors. </w:t>
      </w:r>
      <w:r>
        <w:rPr>
          <w:rFonts w:ascii="Times New Roman" w:hAnsi="Times New Roman"/>
          <w:b w:val="false"/>
          <w:i w:val="false"/>
          <w:color w:val="000000"/>
          <w:sz w:val="22"/>
        </w:rPr>
        <w:t>The unit may initiate procedures to modify a support order if a parent requests modification in writing or the unit determines that it is appropriate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under 18 years of age fails to comply with the requirement to attend parenting classes pursuant to Iowa Code section </w:t>
      </w:r>
      <w:hyperlink r:id="rId9">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19 years of age or younger fails to provide proof of compliance with education requirements described in Iowa Code section </w:t>
      </w:r>
      <w:hyperlink r:id="rId10">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no longer meets the age requirements as defined in Iowa Code section </w:t>
      </w:r>
      <w:hyperlink r:id="rId11">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99.83(6)</w:t>
      </w: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A support order may be modified to provide a cost-of-living alteration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cost-of-living alteration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two years have passed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nonrequesting parent signs a statement agreeing to the cost-of-living alteration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parent signs a waiver of personal service accepting service by regular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support order addresses medical support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each affected order is provided, if the unit does not already have copies in its files.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82.pdf" Type="http://schemas.openxmlformats.org/officeDocument/2006/relationships/hyperlink" Id="rId4"/>
    <Relationship TargetMode="External" Target="https://www.legis.iowa.gov/docs/iac/rule/441.99.62.pdf" Type="http://schemas.openxmlformats.org/officeDocument/2006/relationships/hyperlink" Id="rId5"/>
    <Relationship TargetMode="External" Target="https://www.legis.iowa.gov/docs/iac/rule/441.99.84.pdf" Type="http://schemas.openxmlformats.org/officeDocument/2006/relationships/hyperlink" Id="rId6"/>
    <Relationship TargetMode="External" Target="https://www.legis.iowa.gov/docs/ico/chapter/598.21B.pdf" Type="http://schemas.openxmlformats.org/officeDocument/2006/relationships/hyperlink" Id="rId7"/>
    <Relationship TargetMode="External" Target="https://www.legis.iowa.gov/docs/ico/chapter/252B.7A.pdf" Type="http://schemas.openxmlformats.org/officeDocument/2006/relationships/hyperlink" Id="rId8"/>
    <Relationship TargetMode="External" Target="https://www.legis.iowa.gov/docs/ico/chapter/598.21G.pdf" Type="http://schemas.openxmlformats.org/officeDocument/2006/relationships/hyperlink" Id="rId9"/>
    <Relationship TargetMode="External" Target="https://www.legis.iowa.gov/docs/ico/chapter/598.21B.pdf" Type="http://schemas.openxmlformats.org/officeDocument/2006/relationships/hyperlink" Id="rId10"/>
    <Relationship TargetMode="External" Target="https://www.legis.iowa.gov/docs/ico/chapter/598.21B.pdf" Type="http://schemas.openxmlformats.org/officeDocument/2006/relationships/hyperlink" Id="rId11"/>
    <Relationship TargetMode="External" Target="https://www.legis.iowa.gov/docs/ico/chapter/598.21G.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