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441—99.70</w:t>
      </w:r>
      <w:r>
        <w:rPr>
          <w:rFonts w:ascii="Times New Roman" w:hAnsi="Times New Roman"/>
          <w:b/>
          <w:i w:val="false"/>
          <w:color w:val="000000"/>
          <w:sz w:val="22"/>
        </w:rPr>
        <w:t xml:space="preserve">(252B,252H) </w:t>
      </w:r>
      <w:r>
        <w:rPr>
          <w:rFonts w:ascii="Times New Roman" w:hAnsi="Times New Roman"/>
          <w:b/>
          <w:i w:val="false"/>
          <w:color w:val="000000"/>
          <w:sz w:val="22"/>
        </w:rPr>
        <w:t xml:space="preserve">Withdrawing requests. </w:t>
      </w:r>
      <w:r>
        <w:rPr>
          <w:rFonts w:ascii="Times New Roman" w:hAnsi="Times New Roman"/>
          <w:b w:val="false"/>
          <w:i w:val="false"/>
          <w:color w:val="000000"/>
          <w:sz w:val="22"/>
        </w:rPr>
        <w:t>If the requesting party contacts the child support recovery unit to withdraw the request, the child support recovery unit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99.70(1)</w:t>
      </w:r>
      <w:r>
        <w:rPr>
          <w:rFonts w:ascii="Times New Roman" w:hAnsi="Times New Roman"/>
          <w:b w:val="false"/>
          <w:i w:val="false"/>
          <w:color w:val="000000"/>
          <w:sz w:val="22"/>
        </w:rPr>
        <w:t> </w:t>
      </w:r>
      <w:r>
        <w:rPr>
          <w:rFonts w:ascii="Times New Roman" w:hAnsi="Times New Roman"/>
          <w:b w:val="false"/>
          <w:i/>
          <w:color w:val="000000"/>
          <w:sz w:val="22"/>
        </w:rPr>
        <w:t xml:space="preserve">Best interests of the child.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4/1/03.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99.70(2)</w:t>
      </w:r>
      <w:r>
        <w:rPr>
          <w:rFonts w:ascii="Times New Roman" w:hAnsi="Times New Roman"/>
          <w:b w:val="false"/>
          <w:i w:val="false"/>
          <w:color w:val="000000"/>
          <w:sz w:val="22"/>
        </w:rPr>
        <w:t> </w:t>
      </w:r>
      <w:r>
        <w:rPr>
          <w:rFonts w:ascii="Times New Roman" w:hAnsi="Times New Roman"/>
          <w:b w:val="false"/>
          <w:i/>
          <w:color w:val="000000"/>
          <w:sz w:val="22"/>
        </w:rPr>
        <w:t xml:space="preserve">Consent of both parties. </w:t>
      </w:r>
      <w:r>
        <w:rPr>
          <w:rFonts w:ascii="Times New Roman" w:hAnsi="Times New Roman"/>
          <w:b w:val="false"/>
          <w:i w:val="false"/>
          <w:color w:val="000000"/>
          <w:sz w:val="22"/>
        </w:rPr>
        <w:t>The child support recovery unit shall notify the nonrequesting party of the requesting party’s desire to withdraw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nonrequesting party indicates a desire to continue the review, the unit shall proceed with the review and adjust the obligation,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nonrequestor indicates a desire to stop the process or fails to respond within ten days to the notification of the request to withdraw, the unit shall notify all parties that the review and adjustment process has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99.70(3)</w:t>
      </w:r>
      <w:r>
        <w:rPr>
          <w:rFonts w:ascii="Times New Roman" w:hAnsi="Times New Roman"/>
          <w:b w:val="false"/>
          <w:i w:val="false"/>
          <w:color w:val="000000"/>
          <w:sz w:val="22"/>
        </w:rPr>
        <w:t> </w:t>
      </w:r>
      <w:r>
        <w:rPr>
          <w:rFonts w:ascii="Times New Roman" w:hAnsi="Times New Roman"/>
          <w:b w:val="false"/>
          <w:i/>
          <w:color w:val="000000"/>
          <w:sz w:val="22"/>
        </w:rPr>
        <w:t xml:space="preserve">Effect of withdrawal. </w:t>
      </w:r>
      <w:r>
        <w:rPr>
          <w:rFonts w:ascii="Times New Roman" w:hAnsi="Times New Roman"/>
          <w:b w:val="false"/>
          <w:i w:val="false"/>
          <w:color w:val="000000"/>
          <w:sz w:val="22"/>
        </w:rPr>
        <w:t xml:space="preserve">If a request is successfully withdrawn pursuant to subrule </w:t>
      </w:r>
      <w:hyperlink r:id="rId4">
        <w:r>
          <w:rPr>
            <w:rStyle w:val="Hyperlink"/>
            <w:rFonts w:ascii="Times New Roman" w:hAnsi="Times New Roman"/>
            <w:b w:val="false"/>
            <w:i w:val="false"/>
            <w:color w:val="000000"/>
            <w:sz w:val="22"/>
          </w:rPr>
          <w:t>99.70(2)</w:t>
        </w:r>
      </w:hyperlink>
      <w:r>
        <w:rPr>
          <w:rFonts w:ascii="Times New Roman" w:hAnsi="Times New Roman"/>
          <w:b w:val="false"/>
          <w:i w:val="false"/>
          <w:color w:val="000000"/>
          <w:sz w:val="22"/>
        </w:rPr>
        <w:t xml:space="preserve">, a later request by either party shall be subject to the limitations of subrule </w:t>
      </w:r>
      <w:hyperlink r:id="rId5">
        <w:r>
          <w:rPr>
            <w:rStyle w:val="Hyperlink"/>
            <w:rFonts w:ascii="Times New Roman" w:hAnsi="Times New Roman"/>
            <w:b w:val="false"/>
            <w:i w:val="false"/>
            <w:color w:val="000000"/>
            <w:sz w:val="22"/>
          </w:rPr>
          <w:t>99.62(2)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70.pdf" Type="http://schemas.openxmlformats.org/officeDocument/2006/relationships/hyperlink" Id="rId4"/>
    <Relationship TargetMode="External" Target="https://www.legis.iowa.gov/docs/iac/rule/441.99.6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