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441—99.67</w:t>
      </w:r>
      <w:r>
        <w:rPr>
          <w:rFonts w:ascii="Times New Roman" w:hAnsi="Times New Roman"/>
          <w:b/>
          <w:i w:val="false"/>
          <w:color w:val="000000"/>
          <w:sz w:val="22"/>
        </w:rPr>
        <w:t xml:space="preserve">(252B,252H) </w:t>
      </w:r>
      <w:r>
        <w:rPr>
          <w:rFonts w:ascii="Times New Roman" w:hAnsi="Times New Roman"/>
          <w:b/>
          <w:i w:val="false"/>
          <w:color w:val="000000"/>
          <w:sz w:val="22"/>
        </w:rPr>
        <w:t xml:space="preserve">Confidentiality of financial information. </w:t>
      </w:r>
      <w:r>
        <w:rPr>
          <w:rFonts w:ascii="Times New Roman" w:hAnsi="Times New Roman"/>
          <w:b w:val="false"/>
          <w:i w:val="false"/>
          <w:color w:val="000000"/>
          <w:sz w:val="22"/>
        </w:rPr>
        <w:t>Financial information provided to the child support recovery unit by either parent for the purpose of facilitating the review and adjustment process may be disclosed to the other parties to the case, or to the district court,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99.67(1)</w:t>
      </w:r>
      <w:r>
        <w:rPr>
          <w:rFonts w:ascii="Times New Roman" w:hAnsi="Times New Roman"/>
          <w:b w:val="false"/>
          <w:i w:val="false"/>
          <w:color w:val="000000"/>
          <w:sz w:val="22"/>
        </w:rPr>
        <w:t> </w:t>
      </w:r>
      <w:r>
        <w:rPr>
          <w:rFonts w:ascii="Times New Roman" w:hAnsi="Times New Roman"/>
          <w:b w:val="false"/>
          <w:i/>
          <w:color w:val="000000"/>
          <w:sz w:val="22"/>
        </w:rPr>
        <w:t xml:space="preserve">Financial statements. </w:t>
      </w:r>
      <w:r>
        <w:rPr>
          <w:rFonts w:ascii="Times New Roman" w:hAnsi="Times New Roman"/>
          <w:b w:val="false"/>
          <w:i w:val="false"/>
          <w:color w:val="000000"/>
          <w:sz w:val="22"/>
        </w:rPr>
        <w:t>Statements of financial status may be disclosed to either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99.67(2)</w:t>
      </w:r>
      <w:r>
        <w:rPr>
          <w:rFonts w:ascii="Times New Roman" w:hAnsi="Times New Roman"/>
          <w:b w:val="false"/>
          <w:i w:val="false"/>
          <w:color w:val="000000"/>
          <w:sz w:val="22"/>
        </w:rPr>
        <w:t> </w:t>
      </w:r>
      <w:r>
        <w:rPr>
          <w:rFonts w:ascii="Times New Roman" w:hAnsi="Times New Roman"/>
          <w:b w:val="false"/>
          <w:i/>
          <w:color w:val="000000"/>
          <w:sz w:val="22"/>
        </w:rPr>
        <w:t xml:space="preserve">Other documentation. </w:t>
      </w:r>
      <w:r>
        <w:rPr>
          <w:rFonts w:ascii="Times New Roman" w:hAnsi="Times New Roman"/>
          <w:b w:val="false"/>
          <w:i w:val="false"/>
          <w:color w:val="000000"/>
          <w:sz w:val="22"/>
        </w:rPr>
        <w:t xml:space="preserve">Supporting financial documentation such as state and federal income tax returns, pay stubs, IRS Form W-2, bank statements, and other written evidence of financial status may be disclosed to the court after the notice has been issued as described in subrule </w:t>
      </w:r>
      <w:hyperlink r:id="rId4">
        <w:r>
          <w:rPr>
            <w:rStyle w:val="Hyperlink"/>
            <w:rFonts w:ascii="Times New Roman" w:hAnsi="Times New Roman"/>
            <w:b w:val="false"/>
            <w:i w:val="false"/>
            <w:color w:val="000000"/>
            <w:sz w:val="22"/>
          </w:rPr>
          <w:t>99.63(2)</w:t>
        </w:r>
      </w:hyperlink>
      <w:r>
        <w:rPr>
          <w:rFonts w:ascii="Times New Roman" w:hAnsi="Times New Roman"/>
          <w:b w:val="false"/>
          <w:i w:val="false"/>
          <w:color w:val="000000"/>
          <w:sz w:val="22"/>
        </w:rPr>
        <w:t xml:space="preserve"> or </w:t>
      </w:r>
      <w:hyperlink r:id="rId5">
        <w:r>
          <w:rPr>
            <w:rStyle w:val="Hyperlink"/>
            <w:rFonts w:ascii="Times New Roman" w:hAnsi="Times New Roman"/>
            <w:b w:val="false"/>
            <w:i w:val="false"/>
            <w:color w:val="000000"/>
            <w:sz w:val="22"/>
          </w:rPr>
          <w:t>99.63(3)</w:t>
        </w:r>
      </w:hyperlink>
      <w:r>
        <w:rPr>
          <w:rFonts w:ascii="Times New Roman" w:hAnsi="Times New Roman"/>
          <w:b w:val="false"/>
          <w:i w:val="false"/>
          <w:color w:val="000000"/>
          <w:sz w:val="22"/>
        </w:rPr>
        <w:t>, unless otherwise prohibited by state or federal law.</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9352B</w:t>
      </w:r>
      <w:r>
        <w:rPr>
          <w:rFonts w:ascii="Times New Roman" w:hAnsi="Times New Roman"/>
          <w:b w:val="false"/>
          <w:i w:val="false"/>
          <w:color w:val="000000"/>
          <w:sz w:val="16"/>
        </w:rPr>
        <w:t>, IAB 2/9/11, effective 4/1/11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99.63.pdf" Type="http://schemas.openxmlformats.org/officeDocument/2006/relationships/hyperlink" Id="rId4"/>
    <Relationship TargetMode="External" Target="https://www.legis.iowa.gov/docs/iac/rule/441.99.63.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