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441—99.65</w:t>
      </w:r>
      <w:r>
        <w:rPr>
          <w:rFonts w:ascii="Times New Roman" w:hAnsi="Times New Roman"/>
          <w:b/>
          <w:i w:val="false"/>
          <w:color w:val="000000"/>
          <w:sz w:val="22"/>
        </w:rPr>
        <w:t xml:space="preserve">(252B,252H) </w:t>
      </w:r>
      <w:r>
        <w:rPr>
          <w:rFonts w:ascii="Times New Roman" w:hAnsi="Times New Roman"/>
          <w:b/>
          <w:i w:val="false"/>
          <w:color w:val="000000"/>
          <w:sz w:val="22"/>
        </w:rPr>
        <w:t xml:space="preserve">Review and adjustment of a child support obligation.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99.65(1)</w:t>
      </w:r>
      <w:r>
        <w:rPr>
          <w:rFonts w:ascii="Times New Roman" w:hAnsi="Times New Roman"/>
          <w:b w:val="false"/>
          <w:i w:val="false"/>
          <w:color w:val="000000"/>
          <w:sz w:val="22"/>
        </w:rPr>
        <w:t> </w:t>
      </w:r>
      <w:r>
        <w:rPr>
          <w:rFonts w:ascii="Times New Roman" w:hAnsi="Times New Roman"/>
          <w:b w:val="false"/>
          <w:i/>
          <w:color w:val="000000"/>
          <w:sz w:val="22"/>
        </w:rPr>
        <w:t xml:space="preserve">Conducting the review. </w:t>
      </w:r>
      <w:r>
        <w:rPr>
          <w:rFonts w:ascii="Times New Roman" w:hAnsi="Times New Roman"/>
          <w:b w:val="false"/>
          <w:i w:val="false"/>
          <w:color w:val="000000"/>
          <w:sz w:val="22"/>
        </w:rPr>
        <w:t>The child support recovery unit or its attorney shall review the case for administrative adjustment of a child support obligation unless it is determined that any of the following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of one or both of the parents is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variation from the Iowa Supreme Court mandatory child support guidelines is based on any material misrepresentation of fact concerning any financial information submitted to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criteria of rule </w:t>
      </w:r>
      <w:hyperlink r:id="rId4">
        <w:r>
          <w:rPr>
            <w:rStyle w:val="Hyperlink"/>
            <w:rFonts w:ascii="Times New Roman" w:hAnsi="Times New Roman"/>
            <w:b w:val="false"/>
            <w:i w:val="false"/>
            <w:color w:val="000000"/>
            <w:sz w:val="22"/>
          </w:rPr>
          <w:t>441—99.62</w:t>
        </w:r>
      </w:hyperlink>
      <w:r>
        <w:rPr>
          <w:rFonts w:ascii="Times New Roman" w:hAnsi="Times New Roman"/>
          <w:b w:val="false"/>
          <w:i w:val="false"/>
          <w:color w:val="000000"/>
          <w:sz w:val="22"/>
        </w:rPr>
        <w:t>(252B,252H) are not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end date of the order is less than 12 months in the future or the youngest child is 17½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99.65(2)</w:t>
      </w:r>
      <w:r>
        <w:rPr>
          <w:rFonts w:ascii="Times New Roman" w:hAnsi="Times New Roman"/>
          <w:b w:val="false"/>
          <w:i w:val="false"/>
          <w:color w:val="000000"/>
          <w:sz w:val="22"/>
        </w:rPr>
        <w:t> </w:t>
      </w:r>
      <w:r>
        <w:rPr>
          <w:rFonts w:ascii="Times New Roman" w:hAnsi="Times New Roman"/>
          <w:b w:val="false"/>
          <w:i/>
          <w:color w:val="000000"/>
          <w:sz w:val="22"/>
        </w:rPr>
        <w:t xml:space="preserve">Civil action. </w:t>
      </w:r>
      <w:r>
        <w:rPr>
          <w:rFonts w:ascii="Times New Roman" w:hAnsi="Times New Roman"/>
          <w:b w:val="false"/>
          <w:i w:val="false"/>
          <w:color w:val="000000"/>
          <w:sz w:val="22"/>
        </w:rPr>
        <w:t>The review and adjustment action that is certified to court for hearing shall proceed as an ordinary civil action in equity, and the child support recovery unit attorney shall represent the state of Iowa in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99.65(3)</w:t>
      </w:r>
      <w:r>
        <w:rPr>
          <w:rFonts w:ascii="Times New Roman" w:hAnsi="Times New Roman"/>
          <w:b w:val="false"/>
          <w:i w:val="false"/>
          <w:color w:val="000000"/>
          <w:sz w:val="22"/>
        </w:rPr>
        <w:t> </w:t>
      </w:r>
      <w:r>
        <w:rPr>
          <w:rFonts w:ascii="Times New Roman" w:hAnsi="Times New Roman"/>
          <w:b w:val="false"/>
          <w:i/>
          <w:color w:val="000000"/>
          <w:sz w:val="22"/>
        </w:rPr>
        <w:t xml:space="preserve">Private counsel. </w:t>
      </w:r>
      <w:r>
        <w:rPr>
          <w:rFonts w:ascii="Times New Roman" w:hAnsi="Times New Roman"/>
          <w:b w:val="false"/>
          <w:i w:val="false"/>
          <w:color w:val="000000"/>
          <w:sz w:val="22"/>
        </w:rPr>
        <w:t xml:space="preserve">After the notice has been issued as described in subrule </w:t>
      </w:r>
      <w:hyperlink r:id="rId5">
        <w:r>
          <w:rPr>
            <w:rStyle w:val="Hyperlink"/>
            <w:rFonts w:ascii="Times New Roman" w:hAnsi="Times New Roman"/>
            <w:b w:val="false"/>
            <w:i w:val="false"/>
            <w:color w:val="000000"/>
            <w:sz w:val="22"/>
          </w:rPr>
          <w:t>99.63(2)</w:t>
        </w:r>
      </w:hyperlink>
      <w:r>
        <w:rPr>
          <w:rFonts w:ascii="Times New Roman" w:hAnsi="Times New Roman"/>
          <w:b w:val="false"/>
          <w:i w:val="false"/>
          <w:color w:val="000000"/>
          <w:sz w:val="22"/>
        </w:rPr>
        <w:t xml:space="preserve"> or </w:t>
      </w:r>
      <w:hyperlink r:id="rId6">
        <w:r>
          <w:rPr>
            <w:rStyle w:val="Hyperlink"/>
            <w:rFonts w:ascii="Times New Roman" w:hAnsi="Times New Roman"/>
            <w:b w:val="false"/>
            <w:i w:val="false"/>
            <w:color w:val="000000"/>
            <w:sz w:val="22"/>
          </w:rPr>
          <w:t>99.63(3)</w:t>
        </w:r>
      </w:hyperlink>
      <w:r>
        <w:rPr>
          <w:rFonts w:ascii="Times New Roman" w:hAnsi="Times New Roman"/>
          <w:b w:val="false"/>
          <w:i w:val="false"/>
          <w:color w:val="000000"/>
          <w:sz w:val="22"/>
        </w:rPr>
        <w:t>, any party may choose to be represented personally by private counsel. Any party who retains private counsel shall notify the child support recovery unit of this fact in writing.</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9352B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 xml:space="preserve">; </w:t>
      </w:r>
      <w:r>
        <w:rPr>
          <w:rFonts w:ascii="Times New Roman" w:hAnsi="Times New Roman"/>
          <w:b/>
          <w:i w:val="false"/>
          <w:color w:val="000000"/>
          <w:sz w:val="16"/>
        </w:rPr>
        <w:t>ARC 3719C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9.62.pdf" Type="http://schemas.openxmlformats.org/officeDocument/2006/relationships/hyperlink" Id="rId4"/>
    <Relationship TargetMode="External" Target="https://www.legis.iowa.gov/docs/iac/rule/441.99.63.pdf" Type="http://schemas.openxmlformats.org/officeDocument/2006/relationships/hyperlink" Id="rId5"/>
    <Relationship TargetMode="External" Target="https://www.legis.iowa.gov/docs/iac/rule/441.99.6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