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441—99.64</w:t>
      </w:r>
      <w:r>
        <w:rPr>
          <w:rFonts w:ascii="Times New Roman" w:hAnsi="Times New Roman"/>
          <w:b/>
          <w:i w:val="false"/>
          <w:color w:val="000000"/>
          <w:sz w:val="22"/>
        </w:rPr>
        <w:t xml:space="preserve">(252B,252H) </w:t>
      </w:r>
      <w:r>
        <w:rPr>
          <w:rFonts w:ascii="Times New Roman" w:hAnsi="Times New Roman"/>
          <w:b/>
          <w:i w:val="false"/>
          <w:color w:val="000000"/>
          <w:sz w:val="22"/>
        </w:rPr>
        <w:t xml:space="preserve">Financial information. </w:t>
      </w:r>
      <w:r>
        <w:rPr>
          <w:rFonts w:ascii="Times New Roman" w:hAnsi="Times New Roman"/>
          <w:b w:val="false"/>
          <w:i w:val="false"/>
          <w:color w:val="000000"/>
          <w:sz w:val="22"/>
        </w:rPr>
        <w:t>The child support recovery unit shall attempt to obtain and verify information concerning the financial circumstances of the parents subject to the order to be reviewed necessary to conduct the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99.64(1)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 xml:space="preserve">Except for a review initiated under Iowa Code section </w:t>
      </w:r>
      <w:hyperlink r:id="rId4">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xml:space="preserve">, both parents subject to the order to be reviewed shall provide a financial statement and verification of income within ten days of service of the notice of the unit’s intent to review the obligation. If a review is initiated under Iowa Code section </w:t>
      </w:r>
      <w:hyperlink r:id="rId5">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xml:space="preserve"> and the first notice of decision is challenged as described in subrule </w:t>
      </w:r>
      <w:hyperlink r:id="rId6">
        <w:r>
          <w:rPr>
            <w:rStyle w:val="Hyperlink"/>
            <w:rFonts w:ascii="Times New Roman" w:hAnsi="Times New Roman"/>
            <w:b w:val="false"/>
            <w:i w:val="false"/>
            <w:color w:val="000000"/>
            <w:sz w:val="22"/>
          </w:rPr>
          <w:t>99.63(4)</w:t>
        </w:r>
      </w:hyperlink>
      <w:r>
        <w:rPr>
          <w:rFonts w:ascii="Times New Roman" w:hAnsi="Times New Roman"/>
          <w:b w:val="false"/>
          <w:i w:val="false"/>
          <w:color w:val="000000"/>
          <w:sz w:val="22"/>
        </w:rPr>
        <w:t>, both parents shall be requested to provide a financial statement and verification of income within ten days of the unit’s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income shall include, but not be limited to, the following: copies of state and federal income tax returns, W-2 statements, pay stubs, or a signed statement from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may also request that the parent requesting review provide an affidavit regarding the financial circumstances of the nonrequesting parent when the unit is otherwise unable to obtain financial information concerning the nonrequesting parent. The requesting parent shall complete the affidavit if the parent possesses sufficient information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99.64(2)</w:t>
      </w:r>
      <w:r>
        <w:rPr>
          <w:rFonts w:ascii="Times New Roman" w:hAnsi="Times New Roman"/>
          <w:b w:val="false"/>
          <w:i w:val="false"/>
          <w:color w:val="000000"/>
          <w:sz w:val="22"/>
        </w:rPr>
        <w:t> </w:t>
      </w:r>
      <w:r>
        <w:rPr>
          <w:rFonts w:ascii="Times New Roman" w:hAnsi="Times New Roman"/>
          <w:b w:val="false"/>
          <w:i/>
          <w:color w:val="000000"/>
          <w:sz w:val="22"/>
        </w:rPr>
        <w:t xml:space="preserve">Independent sources. </w:t>
      </w:r>
      <w:r>
        <w:rPr>
          <w:rFonts w:ascii="Times New Roman" w:hAnsi="Times New Roman"/>
          <w:b w:val="false"/>
          <w:i w:val="false"/>
          <w:color w:val="000000"/>
          <w:sz w:val="22"/>
        </w:rPr>
        <w:t>The child support recovery unit may utilize other resources to obtain or confirm information concerning the financial circumstances of the parents subject to the order to be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resources include, but are not limited to, the following: the Iowa workforce development department, the Iowa department of revenue, the Internal Revenue Service, the employment, revenue, and child support recovery agencies of other states, and the Social Security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other verification of income and deductions allowed under the mandatory support guidelines, the child support recovery unit may estimate the net earned income of a parent for the purpose of determining the amount of support that would be due under the guidelines by deducting 20 percent from the gross earned income confirmed by an independent source. A parent may challenge this estimate by providing verification of actual earned income deductions.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99.64(3)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medical insurance. </w:t>
      </w:r>
      <w:r>
        <w:rPr>
          <w:rFonts w:ascii="Times New Roman" w:hAnsi="Times New Roman"/>
          <w:b w:val="false"/>
          <w:i w:val="false"/>
          <w:color w:val="000000"/>
          <w:sz w:val="22"/>
        </w:rPr>
        <w:t>Both parents subject to the order to be reviewed shall provide documentation regarding the availability of health insurance coverage for the children covered under the order, and the cost of the coverage, within ten days of a written request by the child support recovery unit. Verification may include, but not be limited to: a copy of the health benefit plan including the effective date of the plan, a letter from the employer detailing the availability of health insurance, or any other source that will serve to verify health insurance information and the cost of the coverage.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9352B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H.14A.pdf" Type="http://schemas.openxmlformats.org/officeDocument/2006/relationships/hyperlink" Id="rId4"/>
    <Relationship TargetMode="External" Target="https://www.legis.iowa.gov/docs/ico/chapter/252H.14A.pdf" Type="http://schemas.openxmlformats.org/officeDocument/2006/relationships/hyperlink" Id="rId5"/>
    <Relationship TargetMode="External" Target="https://www.legis.iowa.gov/docs/iac/rule/441.99.6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