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441—99.63</w:t>
      </w:r>
      <w:r>
        <w:rPr>
          <w:rFonts w:ascii="Times New Roman" w:hAnsi="Times New Roman"/>
          <w:b/>
          <w:i w:val="false"/>
          <w:color w:val="000000"/>
          <w:sz w:val="22"/>
        </w:rPr>
        <w:t xml:space="preserve">(252B,252H) </w:t>
      </w:r>
      <w:r>
        <w:rPr>
          <w:rFonts w:ascii="Times New Roman" w:hAnsi="Times New Roman"/>
          <w:b/>
          <w:i w:val="false"/>
          <w:color w:val="000000"/>
          <w:sz w:val="22"/>
        </w:rPr>
        <w:t xml:space="preserve">Notice requirements. </w:t>
      </w:r>
      <w:r>
        <w:rPr>
          <w:rFonts w:ascii="Times New Roman" w:hAnsi="Times New Roman"/>
          <w:b w:val="false"/>
          <w:i w:val="false"/>
          <w:color w:val="000000"/>
          <w:sz w:val="22"/>
        </w:rPr>
        <w:t>The child support recovery unit shall provide written notification to each parent affected by a permanent child support obligation being enforced by the child support recovery unit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99.63(1)</w:t>
      </w:r>
      <w:r>
        <w:rPr>
          <w:rFonts w:ascii="Times New Roman" w:hAnsi="Times New Roman"/>
          <w:b w:val="false"/>
          <w:i w:val="false"/>
          <w:color w:val="000000"/>
          <w:sz w:val="22"/>
        </w:rPr>
        <w:t> </w:t>
      </w:r>
      <w:r>
        <w:rPr>
          <w:rFonts w:ascii="Times New Roman" w:hAnsi="Times New Roman"/>
          <w:b w:val="false"/>
          <w:i/>
          <w:color w:val="000000"/>
          <w:sz w:val="22"/>
        </w:rPr>
        <w:t xml:space="preserve">Notice of right to request review. </w:t>
      </w:r>
      <w:r>
        <w:rPr>
          <w:rFonts w:ascii="Times New Roman" w:hAnsi="Times New Roman"/>
          <w:b w:val="false"/>
          <w:i w:val="false"/>
          <w:color w:val="000000"/>
          <w:sz w:val="22"/>
        </w:rPr>
        <w:t>The child support recovery unit shall notify each parent of the right to request review of the order and the appropriate place and manner in which the request should be made. Notification shall be provided on Form 470-0188 or Form 470-1981 or through another printed or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99.63(2)</w:t>
      </w:r>
      <w:r>
        <w:rPr>
          <w:rFonts w:ascii="Times New Roman" w:hAnsi="Times New Roman"/>
          <w:b w:val="false"/>
          <w:i w:val="false"/>
          <w:color w:val="000000"/>
          <w:sz w:val="22"/>
        </w:rPr>
        <w:t> </w:t>
      </w:r>
      <w:r>
        <w:rPr>
          <w:rFonts w:ascii="Times New Roman" w:hAnsi="Times New Roman"/>
          <w:b w:val="false"/>
          <w:i/>
          <w:color w:val="000000"/>
          <w:sz w:val="22"/>
        </w:rPr>
        <w:t xml:space="preserve">Notice of review. </w:t>
      </w:r>
      <w:r>
        <w:rPr>
          <w:rFonts w:ascii="Times New Roman" w:hAnsi="Times New Roman"/>
          <w:b w:val="false"/>
          <w:i w:val="false"/>
          <w:color w:val="000000"/>
          <w:sz w:val="22"/>
        </w:rPr>
        <w:t>One of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15 days before the review is conducted, the child support recovery unit shall serve notice of its intent to review the order on each parent affected by the child support obligation. This notice shall include a request that the parties complete a financial statement and provide verification of income. The notice shall be served in accordance with Iowa Code section </w:t>
      </w:r>
      <w:hyperlink r:id="rId4">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of Iowa Code section </w:t>
      </w:r>
      <w:hyperlink r:id="rId6">
        <w:r>
          <w:rPr>
            <w:rStyle w:val="Hyperlink"/>
            <w:rFonts w:ascii="Times New Roman" w:hAnsi="Times New Roman"/>
            <w:b w:val="false"/>
            <w:i w:val="false"/>
            <w:color w:val="000000"/>
            <w:sz w:val="22"/>
          </w:rPr>
          <w:t>252H.14A(1)</w:t>
        </w:r>
      </w:hyperlink>
      <w:r>
        <w:rPr>
          <w:rFonts w:ascii="Times New Roman" w:hAnsi="Times New Roman"/>
          <w:b w:val="false"/>
          <w:i w:val="false"/>
          <w:color w:val="000000"/>
          <w:sz w:val="22"/>
        </w:rPr>
        <w:t xml:space="preserve"> are met, the unit may conduct a review using information accessible to the unit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a notice under paragraph </w:t>
      </w:r>
      <w:hyperlink r:id="rId7">
        <w:r>
          <w:rPr>
            <w:rStyle w:val="Hyperlink"/>
            <w:rFonts w:ascii="Times New Roman" w:hAnsi="Times New Roman"/>
            <w:b w:val="false"/>
            <w:i w:val="false"/>
            <w:color w:val="000000"/>
            <w:sz w:val="22"/>
          </w:rPr>
          <w:t>99.63(2)</w:t>
        </w:r>
        <w:r>
          <w:rPr>
            <w:rFonts w:ascii="Times New Roman" w:hAnsi="Times New Roman"/>
            <w:b w:val="false"/>
            <w:i/>
            <w:color w:val="000000"/>
            <w:sz w:val="22"/>
          </w:rPr>
          <w:t>“a,”</w:t>
        </w:r>
      </w:hyperlink>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Requesting additional information from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99.63(3)</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After the child support recovery unit completes the review of the child support obligation in accordance with rule </w:t>
      </w:r>
      <w:hyperlink r:id="rId8">
        <w:r>
          <w:rPr>
            <w:rStyle w:val="Hyperlink"/>
            <w:rFonts w:ascii="Times New Roman" w:hAnsi="Times New Roman"/>
            <w:b w:val="false"/>
            <w:i w:val="false"/>
            <w:color w:val="000000"/>
            <w:sz w:val="22"/>
          </w:rPr>
          <w:t>441—99.62</w:t>
        </w:r>
      </w:hyperlink>
      <w:r>
        <w:rPr>
          <w:rFonts w:ascii="Times New Roman" w:hAnsi="Times New Roman"/>
          <w:b w:val="false"/>
          <w:i w:val="false"/>
          <w:color w:val="000000"/>
          <w:sz w:val="22"/>
        </w:rPr>
        <w:t xml:space="preserve">(252B,252H), the unit shall issue a notice of decision in accordance with Iowa Code section </w:t>
      </w:r>
      <w:hyperlink r:id="rId9">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xml:space="preserve"> stating whether or not an adjustment is appropriate and, if so, the unit’s intent to enter an administrative order for adjustment.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 Rescinded IAB 2/5/03, effective 4/1/03.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99.63(4)</w:t>
      </w:r>
      <w:r>
        <w:rPr>
          <w:rFonts w:ascii="Times New Roman" w:hAnsi="Times New Roman"/>
          <w:b w:val="false"/>
          <w:i w:val="false"/>
          <w:color w:val="000000"/>
          <w:sz w:val="22"/>
        </w:rPr>
        <w:t> </w:t>
      </w:r>
      <w:r>
        <w:rPr>
          <w:rFonts w:ascii="Times New Roman" w:hAnsi="Times New Roman"/>
          <w:b w:val="false"/>
          <w:i/>
          <w:color w:val="000000"/>
          <w:sz w:val="22"/>
        </w:rPr>
        <w:t xml:space="preserve">Challenges to outcome of review. </w:t>
      </w:r>
      <w:r>
        <w:rPr>
          <w:rFonts w:ascii="Times New Roman" w:hAnsi="Times New Roman"/>
          <w:b w:val="false"/>
          <w:i w:val="false"/>
          <w:color w:val="000000"/>
          <w:sz w:val="22"/>
        </w:rPr>
        <w:t>Each parent shall be allowed to request a second review challenging the determination of the child support recovery unit. The procedure for challenging the determination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challenging the determination shall submit the request for a second review in writing to the child support recovery unit stating the reasons for the request and providing written evidence necessary to support the challenge. The request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from the date of a notice of decision issued pursuant to Iowa Code section </w:t>
      </w:r>
      <w:hyperlink r:id="rId11">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service of a notice of decision issued pursuant to Iowa Code section </w:t>
      </w:r>
      <w:hyperlink r:id="rId12">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review the written evidence submitted with the request and all financial information available to the unit and make a determination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Rescinded IAB 2/5/03, effective 4/1/03.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enter an administrative order for adjustment of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adjustment of the child support obligation is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unit shall send written notice of the outcome of the second review to each parent affected by the child support obligation at the parent’s last-known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13">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 if either parent disputes the second decision, the objecting parent may request a court hearing within 15 days from the date the notice of decision is issued or within 10 days of the date the second notice of decision is issued,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14">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either parent may request a court hearing within 10 days of the issuance of the second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unit receives a timely written request or the unit determines that a court hearing is necessary, the unit shall certify the matter to the district court. An objecting parent may seek recourse by filing a private petition for modification through the district court.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4576C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26.pdf" Type="http://schemas.openxmlformats.org/officeDocument/2006/relationships/hyperlink" Id="rId4"/>
    <Relationship TargetMode="External" Target="https://www.legis.iowa.gov/docs/ico/chapter/252H.15.pdf" Type="http://schemas.openxmlformats.org/officeDocument/2006/relationships/hyperlink" Id="rId5"/>
    <Relationship TargetMode="External" Target="https://www.legis.iowa.gov/docs/ico/chapter/252H.14A.pdf" Type="http://schemas.openxmlformats.org/officeDocument/2006/relationships/hyperlink" Id="rId6"/>
    <Relationship TargetMode="External" Target="https://www.legis.iowa.gov/docs/iac/rule/441.99.63.pdf" Type="http://schemas.openxmlformats.org/officeDocument/2006/relationships/hyperlink" Id="rId7"/>
    <Relationship TargetMode="External" Target="https://www.legis.iowa.gov/docs/iac/rule/441.99.62.pdf" Type="http://schemas.openxmlformats.org/officeDocument/2006/relationships/hyperlink" Id="rId8"/>
    <Relationship TargetMode="External" Target="https://www.legis.iowa.gov/docs/ico/chapter/252H.14A.pdf" Type="http://schemas.openxmlformats.org/officeDocument/2006/relationships/hyperlink" Id="rId9"/>
    <Relationship TargetMode="External" Target="https://www.legis.iowa.gov/docs/ico/chapter/252H.16.pdf" Type="http://schemas.openxmlformats.org/officeDocument/2006/relationships/hyperlink" Id="rId10"/>
    <Relationship TargetMode="External" Target="https://www.legis.iowa.gov/docs/ico/chapter/252H.16.pdf" Type="http://schemas.openxmlformats.org/officeDocument/2006/relationships/hyperlink" Id="rId11"/>
    <Relationship TargetMode="External" Target="https://www.legis.iowa.gov/docs/ico/chapter/252H.14A.pdf" Type="http://schemas.openxmlformats.org/officeDocument/2006/relationships/hyperlink" Id="rId12"/>
    <Relationship TargetMode="External" Target="https://www.legis.iowa.gov/docs/ico/chapter/252H.15.pdf" Type="http://schemas.openxmlformats.org/officeDocument/2006/relationships/hyperlink" Id="rId13"/>
    <Relationship TargetMode="External" Target="https://www.legis.iowa.gov/docs/ico/chapter/252H.14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