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441—99.62</w:t>
      </w:r>
      <w:r>
        <w:rPr>
          <w:rFonts w:ascii="Times New Roman" w:hAnsi="Times New Roman"/>
          <w:b/>
          <w:i w:val="false"/>
          <w:color w:val="000000"/>
          <w:sz w:val="22"/>
        </w:rPr>
        <w:t xml:space="preserve">(252B,252H) </w:t>
      </w:r>
      <w:r>
        <w:rPr>
          <w:rFonts w:ascii="Times New Roman" w:hAnsi="Times New Roman"/>
          <w:b/>
          <w:i w:val="false"/>
          <w:color w:val="000000"/>
          <w:sz w:val="22"/>
        </w:rPr>
        <w:t xml:space="preserve">Review of permanent child support obligations. </w:t>
      </w:r>
      <w:r>
        <w:rPr>
          <w:rFonts w:ascii="Times New Roman" w:hAnsi="Times New Roman"/>
          <w:b w:val="false"/>
          <w:i w:val="false"/>
          <w:color w:val="000000"/>
          <w:sz w:val="22"/>
        </w:rPr>
        <w:t xml:space="preserve">Permanent child support obligations that are ongoing and being enforced by the child support recovery unit or the child support agency of another state shall be reviewed by the unit to determine whether or not to adjust the obligation. The unit shall determine the appropriate obligation amount using the child support guidelines. Iowa must have continuing, exclusive jurisdiction to modify the order under Iowa Code chapter </w:t>
      </w:r>
      <w:hyperlink r:id="rId4">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99.62(1)</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 xml:space="preserve">A permanent child support obligation being enforced by the child support recovery unit and meeting the conditions in Iowa Code section </w:t>
      </w:r>
      <w:hyperlink r:id="rId5">
        <w:r>
          <w:rPr>
            <w:rStyle w:val="Hyperlink"/>
            <w:rFonts w:ascii="Times New Roman" w:hAnsi="Times New Roman"/>
            <w:b w:val="false"/>
            <w:i w:val="false"/>
            <w:color w:val="000000"/>
            <w:sz w:val="22"/>
          </w:rPr>
          <w:t>252H.12</w:t>
        </w:r>
      </w:hyperlink>
      <w:r>
        <w:rPr>
          <w:rFonts w:ascii="Times New Roman" w:hAnsi="Times New Roman"/>
          <w:b w:val="false"/>
          <w:i w:val="false"/>
          <w:color w:val="000000"/>
          <w:sz w:val="22"/>
        </w:rPr>
        <w:t xml:space="preserve"> may be reviewed upon the initiative of the unit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any ongoing child support obligation is currently assigned to the state due to the receipt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 order does not already contain medical support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review is otherwise necessary to comply with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99.62(2)</w:t>
      </w:r>
      <w:r>
        <w:rPr>
          <w:rFonts w:ascii="Times New Roman" w:hAnsi="Times New Roman"/>
          <w:b w:val="false"/>
          <w:i w:val="false"/>
          <w:color w:val="000000"/>
          <w:sz w:val="22"/>
        </w:rPr>
        <w:t> </w:t>
      </w:r>
      <w:r>
        <w:rPr>
          <w:rFonts w:ascii="Times New Roman" w:hAnsi="Times New Roman"/>
          <w:b w:val="false"/>
          <w:i/>
          <w:color w:val="000000"/>
          <w:sz w:val="22"/>
        </w:rPr>
        <w:t xml:space="preserve">Review by request. </w:t>
      </w:r>
      <w:r>
        <w:rPr>
          <w:rFonts w:ascii="Times New Roman" w:hAnsi="Times New Roman"/>
          <w:b w:val="false"/>
          <w:i w:val="false"/>
          <w:color w:val="000000"/>
          <w:sz w:val="22"/>
        </w:rPr>
        <w:t>A review shall be conducted upon the request of the child support recovery agency of another state or upon the written request of either parent subject to the order submitted on Form 470-2749. One review may be conducted every two years when the review is being conducted at the request of either parent. The request for review may be no earlier than two years from the filing date of the support order or most recent modification or the last completed review,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99.62(3)</w:t>
      </w:r>
      <w:r>
        <w:rPr>
          <w:rFonts w:ascii="Times New Roman" w:hAnsi="Times New Roman"/>
          <w:b w:val="false"/>
          <w:i w:val="false"/>
          <w:color w:val="000000"/>
          <w:sz w:val="22"/>
        </w:rPr>
        <w:t> </w:t>
      </w:r>
      <w:r>
        <w:rPr>
          <w:rFonts w:ascii="Times New Roman" w:hAnsi="Times New Roman"/>
          <w:b w:val="false"/>
          <w:i/>
          <w:color w:val="000000"/>
          <w:sz w:val="22"/>
        </w:rPr>
        <w:t xml:space="preserve">Review outcome.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Procedures to adjust the support obligation shall be initiated only when the financial and other information available to the child support recovery unit indicates that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 child support obligation varies from the Iowa Supreme Court mandatory child support guidelines by more than 20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Variation is due to a change in financial circumstances which has lasted at least three months and can reasonably be expected to last for an additional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to modify a support order may be initiated when the order does not include provisions for medical support.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K.pdf" Type="http://schemas.openxmlformats.org/officeDocument/2006/relationships/hyperlink" Id="rId4"/>
    <Relationship TargetMode="External" Target="https://www.legis.iowa.gov/docs/ico/chapter/252H.1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