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441—99.41</w:t>
      </w:r>
      <w:r>
        <w:rPr>
          <w:rFonts w:ascii="Times New Roman" w:hAnsi="Times New Roman"/>
          <w:b/>
          <w:i w:val="false"/>
          <w:color w:val="000000"/>
          <w:sz w:val="22"/>
        </w:rPr>
        <w:t xml:space="preserve">(252C) </w:t>
      </w:r>
      <w:r>
        <w:rPr>
          <w:rFonts w:ascii="Times New Roman" w:hAnsi="Times New Roman"/>
          <w:b/>
          <w:i w:val="false"/>
          <w:color w:val="000000"/>
          <w:sz w:val="22"/>
        </w:rPr>
        <w:t xml:space="preserve">Establishment of an administrative order.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99.41(1)</w:t>
      </w:r>
      <w:r>
        <w:rPr>
          <w:rFonts w:ascii="Times New Roman" w:hAnsi="Times New Roman"/>
          <w:b w:val="false"/>
          <w:i w:val="false"/>
          <w:color w:val="000000"/>
          <w:sz w:val="22"/>
        </w:rPr>
        <w:t> </w:t>
      </w:r>
      <w:r>
        <w:rPr>
          <w:rFonts w:ascii="Times New Roman" w:hAnsi="Times New Roman"/>
          <w:b w:val="false"/>
          <w:i/>
          <w:color w:val="000000"/>
          <w:sz w:val="22"/>
        </w:rPr>
        <w:t xml:space="preserve">When order may be established. </w:t>
      </w:r>
      <w:r>
        <w:rPr>
          <w:rFonts w:ascii="Times New Roman" w:hAnsi="Times New Roman"/>
          <w:b w:val="false"/>
          <w:i w:val="false"/>
          <w:color w:val="000000"/>
          <w:sz w:val="22"/>
        </w:rPr>
        <w:t>The bureau chief may establish a child or medical support obligation against a responsible person through the administrative process. This does not preclude the child support recovery unit from pursuing the establishment of an ongoing support obligation through other available legal proceedings. When gathering information to establish a support order, the unit may obtain a signed Form 470-3877 or Form 470-3929 or a similar document from the child’s caretaker.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99.41(2)</w:t>
      </w:r>
      <w:r>
        <w:rPr>
          <w:rFonts w:ascii="Times New Roman" w:hAnsi="Times New Roman"/>
          <w:b w:val="false"/>
          <w:i w:val="false"/>
          <w:color w:val="000000"/>
          <w:sz w:val="22"/>
        </w:rPr>
        <w:t> </w:t>
      </w:r>
      <w:r>
        <w:rPr>
          <w:rFonts w:ascii="Times New Roman" w:hAnsi="Times New Roman"/>
          <w:b w:val="false"/>
          <w:i/>
          <w:color w:val="000000"/>
          <w:sz w:val="22"/>
        </w:rPr>
        <w:t xml:space="preserve">Support debt. </w:t>
      </w:r>
      <w:r>
        <w:rPr>
          <w:rFonts w:ascii="Times New Roman" w:hAnsi="Times New Roman"/>
          <w:b w:val="false"/>
          <w:i w:val="false"/>
          <w:color w:val="000000"/>
          <w:sz w:val="22"/>
        </w:rPr>
        <w:t>When public assistance is paid to or Medicaid is received by a child of the responsible person, or the dependent child’s caretaker, a support debt is created and assigned to the department. When no public assistance is paid or Medicaid is received, the debt is owed to the individual caretaker.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99.41(3)</w:t>
      </w:r>
      <w:r>
        <w:rPr>
          <w:rFonts w:ascii="Times New Roman" w:hAnsi="Times New Roman"/>
          <w:b w:val="false"/>
          <w:i w:val="false"/>
          <w:color w:val="000000"/>
          <w:sz w:val="22"/>
        </w:rPr>
        <w:t> </w:t>
      </w:r>
      <w:r>
        <w:rPr>
          <w:rFonts w:ascii="Times New Roman" w:hAnsi="Times New Roman"/>
          <w:b w:val="false"/>
          <w:i/>
          <w:color w:val="000000"/>
          <w:sz w:val="22"/>
        </w:rPr>
        <w:t xml:space="preserve">Notice to responsible person. </w:t>
      </w:r>
      <w:r>
        <w:rPr>
          <w:rFonts w:ascii="Times New Roman" w:hAnsi="Times New Roman"/>
          <w:b w:val="false"/>
          <w:i w:val="false"/>
          <w:color w:val="000000"/>
          <w:sz w:val="22"/>
        </w:rPr>
        <w:t xml:space="preserve">When the bureau chief establishes a support debt against a responsible person, a notice of child support debt shall be served in accordance with the Iowa Rules of Civil Procedure or Iowa Code section </w:t>
      </w:r>
      <w:hyperlink r:id="rId4">
        <w:r>
          <w:rPr>
            <w:rStyle w:val="Hyperlink"/>
            <w:rFonts w:ascii="Times New Roman" w:hAnsi="Times New Roman"/>
            <w:b w:val="false"/>
            <w:i w:val="false"/>
            <w:color w:val="000000"/>
            <w:sz w:val="22"/>
          </w:rPr>
          <w:t>252B.26</w:t>
        </w:r>
      </w:hyperlink>
      <w:r>
        <w:rPr>
          <w:rFonts w:ascii="Times New Roman" w:hAnsi="Times New Roman"/>
          <w:b w:val="false"/>
          <w:i w:val="false"/>
          <w:color w:val="000000"/>
          <w:sz w:val="22"/>
        </w:rPr>
        <w:t xml:space="preserve">. The notice shall include all of the rights and responsibilities shown in Iowa Code section </w:t>
      </w:r>
      <w:hyperlink r:id="rId5">
        <w:r>
          <w:rPr>
            <w:rStyle w:val="Hyperlink"/>
            <w:rFonts w:ascii="Times New Roman" w:hAnsi="Times New Roman"/>
            <w:b w:val="false"/>
            <w:i w:val="false"/>
            <w:color w:val="000000"/>
            <w:sz w:val="22"/>
          </w:rPr>
          <w:t>252C.3</w:t>
        </w:r>
      </w:hyperlink>
      <w:r>
        <w:rPr>
          <w:rFonts w:ascii="Times New Roman" w:hAnsi="Times New Roman"/>
          <w:b w:val="false"/>
          <w:i w:val="false"/>
          <w:color w:val="000000"/>
          <w:sz w:val="22"/>
        </w:rPr>
        <w:t xml:space="preserve">. The notice shall also inform the responsible person which of these rights may be waived pursuant to Iowa Code section </w:t>
      </w:r>
      <w:hyperlink r:id="rId6">
        <w:r>
          <w:rPr>
            <w:rStyle w:val="Hyperlink"/>
            <w:rFonts w:ascii="Times New Roman" w:hAnsi="Times New Roman"/>
            <w:b w:val="false"/>
            <w:i w:val="false"/>
            <w:color w:val="000000"/>
            <w:sz w:val="22"/>
          </w:rPr>
          <w:t>252C.12</w:t>
        </w:r>
      </w:hyperlink>
      <w:r>
        <w:rPr>
          <w:rFonts w:ascii="Times New Roman" w:hAnsi="Times New Roman"/>
          <w:b w:val="false"/>
          <w:i w:val="false"/>
          <w:color w:val="000000"/>
          <w:sz w:val="22"/>
        </w:rPr>
        <w:t>, and the procedures for and effect of waiving these rights. The notice shall include a statement that failure to respond within the time limits given and to provide information and verification of financial circumstances shall result in the entry of a default judgment for support.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99.41(4)</w:t>
      </w:r>
      <w:r>
        <w:rPr>
          <w:rFonts w:ascii="Times New Roman" w:hAnsi="Times New Roman"/>
          <w:b w:val="false"/>
          <w:i w:val="false"/>
          <w:color w:val="000000"/>
          <w:sz w:val="22"/>
        </w:rPr>
        <w:t> </w:t>
      </w:r>
      <w:r>
        <w:rPr>
          <w:rFonts w:ascii="Times New Roman" w:hAnsi="Times New Roman"/>
          <w:b w:val="false"/>
          <w:i/>
          <w:color w:val="000000"/>
          <w:sz w:val="22"/>
        </w:rPr>
        <w:t xml:space="preserve">Negotiation conference. </w:t>
      </w:r>
      <w:r>
        <w:rPr>
          <w:rFonts w:ascii="Times New Roman" w:hAnsi="Times New Roman"/>
          <w:b w:val="false"/>
          <w:i w:val="false"/>
          <w:color w:val="000000"/>
          <w:sz w:val="22"/>
        </w:rPr>
        <w:t>The responsible person may, within ten calendar days after being served the notice of child support debt, request a negotiation conference with the office of the child support recovery unit which sent the notice.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99.41(5)</w:t>
      </w:r>
      <w:r>
        <w:rPr>
          <w:rFonts w:ascii="Times New Roman" w:hAnsi="Times New Roman"/>
          <w:b w:val="false"/>
          <w:i w:val="false"/>
          <w:color w:val="000000"/>
          <w:sz w:val="22"/>
        </w:rPr>
        <w:t> </w:t>
      </w:r>
      <w:r>
        <w:rPr>
          <w:rFonts w:ascii="Times New Roman" w:hAnsi="Times New Roman"/>
          <w:b w:val="false"/>
          <w:i/>
          <w:color w:val="000000"/>
          <w:sz w:val="22"/>
        </w:rPr>
        <w:t xml:space="preserve">Amount of support obligation. </w:t>
      </w:r>
      <w:r>
        <w:rPr>
          <w:rFonts w:ascii="Times New Roman" w:hAnsi="Times New Roman"/>
          <w:b w:val="false"/>
          <w:i w:val="false"/>
          <w:color w:val="000000"/>
          <w:sz w:val="22"/>
        </w:rPr>
        <w:t xml:space="preserve">The child support recovery unit shall determine the amount of the child support obligation accrued and accruing using the child support guidelines established by the Iowa Supreme Court, and pursuant to the provisions of Iowa Code section </w:t>
      </w:r>
      <w:hyperlink r:id="rId7">
        <w:r>
          <w:rPr>
            <w:rStyle w:val="Hyperlink"/>
            <w:rFonts w:ascii="Times New Roman" w:hAnsi="Times New Roman"/>
            <w:b w:val="false"/>
            <w:i w:val="false"/>
            <w:color w:val="000000"/>
            <w:sz w:val="22"/>
          </w:rPr>
          <w:t>252B.7A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deviation from the guidelines shall require a written finding by the bureau chief.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99.41(6)</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99.41(7)</w:t>
      </w:r>
      <w:r>
        <w:rPr>
          <w:rFonts w:ascii="Times New Roman" w:hAnsi="Times New Roman"/>
          <w:b w:val="false"/>
          <w:i w:val="false"/>
          <w:color w:val="000000"/>
          <w:sz w:val="22"/>
        </w:rPr>
        <w:t> </w:t>
      </w:r>
      <w:r>
        <w:rPr>
          <w:rFonts w:ascii="Times New Roman" w:hAnsi="Times New Roman"/>
          <w:b w:val="false"/>
          <w:i/>
          <w:color w:val="000000"/>
          <w:sz w:val="22"/>
        </w:rPr>
        <w:t xml:space="preserve">Court hearing. </w:t>
      </w:r>
      <w:r>
        <w:rPr>
          <w:rFonts w:ascii="Times New Roman" w:hAnsi="Times New Roman"/>
          <w:b w:val="false"/>
          <w:i w:val="false"/>
          <w:color w:val="000000"/>
          <w:sz w:val="22"/>
        </w:rPr>
        <w:t>Either the responsible person or the child support recovery unit may request a court hearing regarding the establishment of a support obligation through the administrative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request for a hearing by the responsible person shall be in writing and sent to the office of the child support recovery unit which sent the original notice of the support debt by the latest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Thirty days from the date of service of the first notice of support debt.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Ten days from the date of the negotiation conference.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Thirty days from the date the second notice and finding of financial responsibility is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Ten days from the date of issuance of the conference report if the bureau chief does not issue a second notice and finding of financial responsibility after a conference was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a request for a court hearing is received from the responsible person, within the time limits allowed, or is made by the child support recovery unit, the bureau chief shall schedule or request that the hearing be scheduled in the district court in the county: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Where the dependent child resides if the child resides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Where the responsible person resides if the child for whom support is sought resides in another state or the sole purpose of the administrative order is to secure a judgment for the time period that public assistance was expended by the state on behalf of the family or child.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99.41(8)</w:t>
      </w:r>
      <w:r>
        <w:rPr>
          <w:rFonts w:ascii="Times New Roman" w:hAnsi="Times New Roman"/>
          <w:b w:val="false"/>
          <w:i w:val="false"/>
          <w:color w:val="000000"/>
          <w:sz w:val="22"/>
        </w:rPr>
        <w:t> </w:t>
      </w:r>
      <w:r>
        <w:rPr>
          <w:rFonts w:ascii="Times New Roman" w:hAnsi="Times New Roman"/>
          <w:b w:val="false"/>
          <w:i/>
          <w:color w:val="000000"/>
          <w:sz w:val="22"/>
        </w:rPr>
        <w:t xml:space="preserve">Exception to time limit. </w:t>
      </w:r>
      <w:r>
        <w:rPr>
          <w:rFonts w:ascii="Times New Roman" w:hAnsi="Times New Roman"/>
          <w:b w:val="false"/>
          <w:i w:val="false"/>
          <w:color w:val="000000"/>
          <w:sz w:val="22"/>
        </w:rPr>
        <w:t>The bureau chief may accept and respond to written requests for a court hearing beyond the time limits allowed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99.41(9)</w:t>
      </w:r>
      <w:r>
        <w:rPr>
          <w:rFonts w:ascii="Times New Roman" w:hAnsi="Times New Roman"/>
          <w:b w:val="false"/>
          <w:i w:val="false"/>
          <w:color w:val="000000"/>
          <w:sz w:val="22"/>
        </w:rPr>
        <w:t> </w:t>
      </w:r>
      <w:r>
        <w:rPr>
          <w:rFonts w:ascii="Times New Roman" w:hAnsi="Times New Roman"/>
          <w:b w:val="false"/>
          <w:i/>
          <w:color w:val="000000"/>
          <w:sz w:val="22"/>
        </w:rPr>
        <w:t xml:space="preserve">Entry of order. </w:t>
      </w:r>
      <w:r>
        <w:rPr>
          <w:rFonts w:ascii="Times New Roman" w:hAnsi="Times New Roman"/>
          <w:b w:val="false"/>
          <w:i w:val="false"/>
          <w:color w:val="000000"/>
          <w:sz w:val="22"/>
        </w:rPr>
        <w:t>If no request for a hearing is received from the responsible person at the local office of the child support recovery unit, or made by the unit, the bureau chief may prepare an order for support and have it presented ex parte to the court for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attorney for the child support recovery unit shall present the order and other documents supporting the entry of the ex parte order to the court for review and approval. Pursuant to Iowa Code chapter </w:t>
      </w:r>
      <w:hyperlink r:id="rId8">
        <w:r>
          <w:rPr>
            <w:rStyle w:val="Hyperlink"/>
            <w:rFonts w:ascii="Times New Roman" w:hAnsi="Times New Roman"/>
            <w:b w:val="false"/>
            <w:i w:val="false"/>
            <w:color w:val="000000"/>
            <w:sz w:val="22"/>
          </w:rPr>
          <w:t>252C</w:t>
        </w:r>
      </w:hyperlink>
      <w:r>
        <w:rPr>
          <w:rFonts w:ascii="Times New Roman" w:hAnsi="Times New Roman"/>
          <w:b w:val="false"/>
          <w:i w:val="false"/>
          <w:color w:val="000000"/>
          <w:sz w:val="22"/>
        </w:rPr>
        <w:t>, the court shall approve the order unless defects appear in the order or supporting documents.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bureau chief shall file a copy of the approved order with the clerk of the district court.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bureau chief shall send a copy of the filed order by regular mail, to the caretaker’s last-known address, to the responsible person’s last-known address or the caretaker’s or the responsible person’s attorney pursuant to the provisions of Iowa Code chapter </w:t>
      </w:r>
      <w:hyperlink r:id="rId9">
        <w:r>
          <w:rPr>
            <w:rStyle w:val="Hyperlink"/>
            <w:rFonts w:ascii="Times New Roman" w:hAnsi="Times New Roman"/>
            <w:b w:val="false"/>
            <w:i w:val="false"/>
            <w:color w:val="000000"/>
            <w:sz w:val="22"/>
          </w:rPr>
          <w:t>252C</w:t>
        </w:r>
      </w:hyperlink>
      <w:r>
        <w:rPr>
          <w:rFonts w:ascii="Times New Roman" w:hAnsi="Times New Roman"/>
          <w:b w:val="false"/>
          <w:i w:val="false"/>
          <w:color w:val="000000"/>
          <w:sz w:val="22"/>
        </w:rPr>
        <w:t xml:space="preserve"> within 14 days after approval and issuance of the order by the court.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99.41(10)</w:t>
      </w:r>
      <w:r>
        <w:rPr>
          <w:rFonts w:ascii="Times New Roman" w:hAnsi="Times New Roman"/>
          <w:b w:val="false"/>
          <w:i w:val="false"/>
          <w:color w:val="000000"/>
          <w:sz w:val="22"/>
        </w:rPr>
        <w:t> </w:t>
      </w:r>
      <w:r>
        <w:rPr>
          <w:rFonts w:ascii="Times New Roman" w:hAnsi="Times New Roman"/>
          <w:b w:val="false"/>
          <w:i/>
          <w:color w:val="000000"/>
          <w:sz w:val="22"/>
        </w:rPr>
        <w:t xml:space="preserve">Force and effect. </w:t>
      </w:r>
      <w:r>
        <w:rPr>
          <w:rFonts w:ascii="Times New Roman" w:hAnsi="Times New Roman"/>
          <w:b w:val="false"/>
          <w:i w:val="false"/>
          <w:color w:val="000000"/>
          <w:sz w:val="22"/>
        </w:rPr>
        <w:t>Once the order has been signed by the judge and filed, it shall have all the force and effect of an order or decree entered by the court. Unless otherwise specified, the effective date of the support obligation shall be the twentieth day following the date the order is prepared by the unit.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99.41(11)</w:t>
      </w:r>
      <w:r>
        <w:rPr>
          <w:rFonts w:ascii="Times New Roman" w:hAnsi="Times New Roman"/>
          <w:b w:val="false"/>
          <w:i w:val="false"/>
          <w:color w:val="000000"/>
          <w:sz w:val="22"/>
        </w:rPr>
        <w:t> </w:t>
      </w:r>
      <w:r>
        <w:rPr>
          <w:rFonts w:ascii="Times New Roman" w:hAnsi="Times New Roman"/>
          <w:b w:val="false"/>
          <w:i/>
          <w:color w:val="000000"/>
          <w:sz w:val="22"/>
        </w:rPr>
        <w:t xml:space="preserve">Modification by bureau chief. </w:t>
      </w:r>
      <w:r>
        <w:rPr>
          <w:rFonts w:ascii="Times New Roman" w:hAnsi="Times New Roman"/>
          <w:b w:val="false"/>
          <w:i w:val="false"/>
          <w:color w:val="000000"/>
          <w:sz w:val="22"/>
        </w:rPr>
        <w:t>The bureau chief may petition an appropriate court for modification of a court order on the same grounds as a party to the court order can petition the court for modification.</w:t>
      </w:r>
    </w:p>
    <w:p>
      <w:pPr>
        <w:spacing w:before="0" w:after="0"/>
        <w:ind w:left="120"/>
        <w:jc w:val="left"/>
      </w:pPr>
      <w:r>
        <w:rPr>
          <w:rFonts w:ascii="Times New Roman" w:hAnsi="Times New Roman"/>
          <w:b w:val="false"/>
          <w:i w:val="false"/>
          <w:color w:val="000000"/>
          <w:sz w:val="22"/>
        </w:rPr>
        <w:t xml:space="preserve">This rule is intended to implement Iowa Code chapter </w:t>
      </w:r>
      <w:hyperlink r:id="rId10">
        <w:r>
          <w:rPr>
            <w:rStyle w:val="Hyperlink"/>
            <w:rFonts w:ascii="Times New Roman" w:hAnsi="Times New Roman"/>
            <w:b w:val="false"/>
            <w:i w:val="false"/>
            <w:color w:val="000000"/>
            <w:sz w:val="22"/>
          </w:rPr>
          <w:t>252C</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1357C</w:t>
      </w:r>
      <w:r>
        <w:rPr>
          <w:rFonts w:ascii="Times New Roman" w:hAnsi="Times New Roman"/>
          <w:b w:val="false"/>
          <w:i w:val="false"/>
          <w:color w:val="000000"/>
          <w:sz w:val="16"/>
        </w:rPr>
        <w:t>, IAB 3/5/14, effective 5/1/14</w:t>
      </w:r>
      <w:r>
        <w:rPr>
          <w:rFonts w:ascii="Times New Roman" w:hAnsi="Times New Roman"/>
          <w:b w:val="false"/>
          <w:i w:val="false"/>
          <w:color w:val="000000"/>
          <w:sz w:val="16"/>
        </w:rPr>
        <w:t xml:space="preserve">; </w:t>
      </w:r>
      <w:r>
        <w:rPr>
          <w:rFonts w:ascii="Times New Roman" w:hAnsi="Times New Roman"/>
          <w:b/>
          <w:i w:val="false"/>
          <w:color w:val="000000"/>
          <w:sz w:val="16"/>
        </w:rPr>
        <w:t>ARC 6856C</w:t>
      </w:r>
      <w:r>
        <w:rPr>
          <w:rFonts w:ascii="Times New Roman" w:hAnsi="Times New Roman"/>
          <w:b w:val="false"/>
          <w:i w:val="false"/>
          <w:color w:val="000000"/>
          <w:sz w:val="16"/>
        </w:rPr>
        <w:t>, IAB 2/8/23, effective 4/1/23</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52B.26.pdf" Type="http://schemas.openxmlformats.org/officeDocument/2006/relationships/hyperlink" Id="rId4"/>
    <Relationship TargetMode="External" Target="https://www.legis.iowa.gov/docs/ico/chapter/252C.3.pdf" Type="http://schemas.openxmlformats.org/officeDocument/2006/relationships/hyperlink" Id="rId5"/>
    <Relationship TargetMode="External" Target="https://www.legis.iowa.gov/docs/ico/chapter/252C.12.pdf" Type="http://schemas.openxmlformats.org/officeDocument/2006/relationships/hyperlink" Id="rId6"/>
    <Relationship TargetMode="External" Target="https://www.legis.iowa.gov/docs/ico/chapter/252B.7A.pdf" Type="http://schemas.openxmlformats.org/officeDocument/2006/relationships/hyperlink" Id="rId7"/>
    <Relationship TargetMode="External" Target="https://www.legis.iowa.gov/docs/ico/chapter/252C.pdf" Type="http://schemas.openxmlformats.org/officeDocument/2006/relationships/hyperlink" Id="rId8"/>
    <Relationship TargetMode="External" Target="https://www.legis.iowa.gov/docs/ico/chapter/252C.pdf" Type="http://schemas.openxmlformats.org/officeDocument/2006/relationships/hyperlink" Id="rId9"/>
    <Relationship TargetMode="External" Target="https://www.legis.iowa.gov/docs/ico/chapter/252C.pdf" Type="http://schemas.openxmlformats.org/officeDocument/2006/relationships/hyperlink"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