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441—99.39</w:t>
      </w:r>
      <w:r>
        <w:rPr>
          <w:rFonts w:ascii="Times New Roman" w:hAnsi="Times New Roman"/>
          <w:b/>
          <w:i w:val="false"/>
          <w:color w:val="000000"/>
          <w:sz w:val="22"/>
        </w:rPr>
        <w:t xml:space="preserve">(598,600B) </w:t>
      </w:r>
      <w:r>
        <w:rPr>
          <w:rFonts w:ascii="Times New Roman" w:hAnsi="Times New Roman"/>
          <w:b/>
          <w:i w:val="false"/>
          <w:color w:val="000000"/>
          <w:sz w:val="22"/>
        </w:rPr>
        <w:t xml:space="preserve">Satisfaction of accrued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99.39(1)</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before May 21, 1997. </w:t>
      </w:r>
      <w:r>
        <w:rPr>
          <w:rFonts w:ascii="Times New Roman" w:hAnsi="Times New Roman"/>
          <w:b w:val="false"/>
          <w:i w:val="false"/>
          <w:color w:val="000000"/>
          <w:sz w:val="22"/>
        </w:rPr>
        <w:t>Upon receipt of a file-stamped copy of an order disestablishing paternity which was entered before May 21, 1997, the child support recovery unit shall take the following action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satisfy only unpaid support assigned to the department and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4">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blood or genetic testing was done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5">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 the written statement was filed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of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district court. If the court later determines that paternity was incorrectly disestablished, the child support recovery unit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99.39(2)</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on or after May 21, 1997. </w:t>
      </w:r>
      <w:r>
        <w:rPr>
          <w:rFonts w:ascii="Times New Roman" w:hAnsi="Times New Roman"/>
          <w:b w:val="false"/>
          <w:i w:val="false"/>
          <w:color w:val="000000"/>
          <w:sz w:val="22"/>
        </w:rPr>
        <w:t>Upon receipt of a file-stamped copy of an order disestablishing paternity which was entered on or after May 21, 1997, the child support recovery unit shall take the following action concerning unpaid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also contains a provision satisfying unpaid support, the unit shall adjust its records to show unpaid support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does not contain a provision satisfying unpaid support, the unit shall satisfy only unpaid support assigned to the department. The unit shall notify the party who petitioned the court for disestablishment that this is the only support the unit can satisfy.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court. If the court later determines that paternity was incorrectly disestablished, the child support recovery unit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paternity. </w:t>
      </w:r>
      <w:r>
        <w:rPr>
          <w:rFonts w:ascii="Times New Roman" w:hAnsi="Times New Roman"/>
          <w:b w:val="false"/>
          <w:i w:val="false"/>
          <w:color w:val="000000"/>
          <w:sz w:val="22"/>
        </w:rPr>
        <w:t xml:space="preserve">If the court entered an order dismissing a disestablishment of paternity action on or before May 21, 1997, this subrule applies. Upon receipt of a file-stamped copy of an order terminating paternity under the requirements of Iowa Code section </w:t>
      </w:r>
      <w:hyperlink r:id="rId6">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the child support recovery unit shall take the following action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ask the obligee to sign the satisfaction acknowledging the obligee has no right to support owed the department and waive notice of hearing on a subsequent satisfaction order. If the obligee does not sign the satisfaction and waiver of notice, the child support recovery unit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prepare the required documents to satisfy any amounts owed the department and shall file them with the appropriate district court. If the court later determines that paternity was incorrectly terminated, the child support recovery unit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99.39(4)</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The child support recovery unit shall not return any moneys previously paid on the judgment.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00B.41A.pdf" Type="http://schemas.openxmlformats.org/officeDocument/2006/relationships/hyperlink" Id="rId4"/>
    <Relationship TargetMode="External" Target="https://www.legis.iowa.gov/docs/ico/chapter/598.21E.pdf" Type="http://schemas.openxmlformats.org/officeDocument/2006/relationships/hyperlink" Id="rId5"/>
    <Relationship TargetMode="External" Target="https://www.legis.iowa.gov/docs/ico/chapter/600B.41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