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441—99.32</w:t>
      </w:r>
      <w:r>
        <w:rPr>
          <w:rFonts w:ascii="Times New Roman" w:hAnsi="Times New Roman"/>
          <w:b/>
          <w:i w:val="false"/>
          <w:color w:val="000000"/>
          <w:sz w:val="22"/>
        </w:rPr>
        <w:t xml:space="preserve">(252F) </w:t>
      </w:r>
      <w:r>
        <w:rPr>
          <w:rFonts w:ascii="Times New Roman" w:hAnsi="Times New Roman"/>
          <w:b/>
          <w:i w:val="false"/>
          <w:color w:val="000000"/>
          <w:sz w:val="22"/>
        </w:rPr>
        <w:t xml:space="preserve">Genetic test costs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99.32(1)</w:t>
      </w:r>
      <w:r>
        <w:rPr>
          <w:rFonts w:ascii="Times New Roman" w:hAnsi="Times New Roman"/>
          <w:b w:val="false"/>
          <w:i w:val="false"/>
          <w:color w:val="000000"/>
          <w:sz w:val="22"/>
        </w:rPr>
        <w:t> </w:t>
      </w:r>
      <w:r>
        <w:rPr>
          <w:rFonts w:ascii="Times New Roman" w:hAnsi="Times New Roman"/>
          <w:b w:val="false"/>
          <w:i/>
          <w:color w:val="000000"/>
          <w:sz w:val="22"/>
        </w:rPr>
        <w:t xml:space="preserve">Paternity established. </w:t>
      </w:r>
      <w:r>
        <w:rPr>
          <w:rFonts w:ascii="Times New Roman" w:hAnsi="Times New Roman"/>
          <w:b w:val="false"/>
          <w:i w:val="false"/>
          <w:color w:val="000000"/>
          <w:sz w:val="22"/>
        </w:rPr>
        <w:t>If genetic testing of an alleged father is conducted and that man is established as the child’s father, the unit shall assess the costs of the genetic testing to the father who denied paternity and enter an order for repayment of these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99.32(2)</w:t>
      </w:r>
      <w:r>
        <w:rPr>
          <w:rFonts w:ascii="Times New Roman" w:hAnsi="Times New Roman"/>
          <w:b w:val="false"/>
          <w:i w:val="false"/>
          <w:color w:val="000000"/>
          <w:sz w:val="22"/>
        </w:rPr>
        <w:t> </w:t>
      </w:r>
      <w:r>
        <w:rPr>
          <w:rFonts w:ascii="Times New Roman" w:hAnsi="Times New Roman"/>
          <w:b w:val="false"/>
          <w:i/>
          <w:color w:val="000000"/>
          <w:sz w:val="22"/>
        </w:rPr>
        <w:t xml:space="preserve">Paternity not established. </w:t>
      </w:r>
      <w:r>
        <w:rPr>
          <w:rFonts w:ascii="Times New Roman" w:hAnsi="Times New Roman"/>
          <w:b w:val="false"/>
          <w:i w:val="false"/>
          <w:color w:val="000000"/>
          <w:sz w:val="22"/>
        </w:rPr>
        <w:t>If genetic testing of an alleged father is conducted and that man is not established as the child’s father, the costs of the genetic testing shall not be assessed to any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99.32(3)</w:t>
      </w:r>
      <w:r>
        <w:rPr>
          <w:rFonts w:ascii="Times New Roman" w:hAnsi="Times New Roman"/>
          <w:b w:val="false"/>
          <w:i w:val="false"/>
          <w:color w:val="000000"/>
          <w:sz w:val="22"/>
        </w:rPr>
        <w:t> </w:t>
      </w:r>
      <w:r>
        <w:rPr>
          <w:rFonts w:ascii="Times New Roman" w:hAnsi="Times New Roman"/>
          <w:b w:val="false"/>
          <w:i/>
          <w:color w:val="000000"/>
          <w:sz w:val="22"/>
        </w:rPr>
        <w:t xml:space="preserve">Results contested. </w:t>
      </w:r>
      <w:r>
        <w:rPr>
          <w:rFonts w:ascii="Times New Roman" w:hAnsi="Times New Roman"/>
          <w:b w:val="false"/>
          <w:i w:val="false"/>
          <w:color w:val="000000"/>
          <w:sz w:val="22"/>
        </w:rPr>
        <w:t>If the results of the genetic testing are timely challenged and the challenging party requests additional testing, the party contesting the results shall advance the cost of the additional testing. If the challenging party does not advance payment for the additional testing, the unit shall certify the case to district court.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