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441—99.30</w:t>
      </w:r>
      <w:r>
        <w:rPr>
          <w:rFonts w:ascii="Times New Roman" w:hAnsi="Times New Roman"/>
          <w:b/>
          <w:i w:val="false"/>
          <w:color w:val="000000"/>
          <w:sz w:val="22"/>
        </w:rPr>
        <w:t xml:space="preserve">(252F) </w:t>
      </w:r>
      <w:r>
        <w:rPr>
          <w:rFonts w:ascii="Times New Roman" w:hAnsi="Times New Roman"/>
          <w:b/>
          <w:i w:val="false"/>
          <w:color w:val="000000"/>
          <w:sz w:val="22"/>
        </w:rPr>
        <w:t xml:space="preserve">Entry of order establishing paternity only. </w:t>
      </w:r>
      <w:r>
        <w:rPr>
          <w:rFonts w:ascii="Times New Roman" w:hAnsi="Times New Roman"/>
          <w:b w:val="false"/>
          <w:i w:val="false"/>
          <w:color w:val="000000"/>
          <w:sz w:val="22"/>
        </w:rPr>
        <w:t>If a party requests a court hearing on support issues and paternity is not contested, or if paternity was contested but neither party filed a timely challenge of the paternity test results, the unit shall prepare an order establishing paternity and reserving the support issues for determination by the court. The unit shall present the order and other documents supporting the entry of the ex parte paternity-only order to the court for review and approval prior to the hearing on the support issues.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